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ind w:left="117" w:right="0" w:firstLine="0"/>
        <w:jc w:val="left"/>
        <w:rPr>
          <w:b/>
          <w:i/>
          <w:sz w:val="22"/>
        </w:rPr>
      </w:pPr>
      <w:r>
        <w:rPr>
          <w:b/>
          <w:i/>
          <w:sz w:val="22"/>
        </w:rPr>
        <w:t>AHG/Dec.127</w:t>
      </w:r>
      <w:r>
        <w:rPr>
          <w:b/>
          <w:i/>
          <w:spacing w:val="22"/>
          <w:sz w:val="22"/>
        </w:rPr>
        <w:t> </w:t>
      </w:r>
      <w:r>
        <w:rPr>
          <w:b/>
          <w:i/>
          <w:spacing w:val="-2"/>
          <w:sz w:val="22"/>
        </w:rPr>
        <w:t>(XXXIV)</w:t>
      </w:r>
    </w:p>
    <w:p>
      <w:pPr>
        <w:pStyle w:val="BodyText"/>
        <w:spacing w:before="1"/>
        <w:rPr>
          <w:i/>
          <w:sz w:val="23"/>
        </w:rPr>
      </w:pPr>
    </w:p>
    <w:p>
      <w:pPr>
        <w:pStyle w:val="BodyText"/>
        <w:spacing w:line="244" w:lineRule="auto"/>
        <w:ind w:left="650" w:right="634" w:firstLine="2"/>
        <w:jc w:val="center"/>
      </w:pPr>
      <w:r>
        <w:rPr>
          <w:u w:val="single"/>
        </w:rPr>
        <w:t>THE CRISIS BETWEEN THE GREAT SOCIALIST PEOPLE'S LIBYAN ARAB</w:t>
      </w:r>
      <w:r>
        <w:rPr/>
        <w:t> </w:t>
      </w:r>
      <w:r>
        <w:rPr>
          <w:u w:val="single"/>
        </w:rPr>
        <w:t>JAMAHIRIYA AND THE UNITED STATES OF AMERICA AND THE </w:t>
      </w:r>
      <w:r>
        <w:rPr>
          <w:u w:val="single"/>
        </w:rPr>
        <w:t>UNITED</w:t>
      </w:r>
      <w:r>
        <w:rPr/>
        <w:t> </w:t>
      </w:r>
      <w:r>
        <w:rPr>
          <w:spacing w:val="-2"/>
          <w:u w:val="single"/>
        </w:rPr>
        <w:t>KINGDOM</w:t>
      </w:r>
    </w:p>
    <w:p>
      <w:pPr>
        <w:pStyle w:val="BodyText"/>
        <w:rPr>
          <w:sz w:val="20"/>
        </w:rPr>
      </w:pPr>
    </w:p>
    <w:p>
      <w:pPr>
        <w:pStyle w:val="BodyText"/>
        <w:spacing w:before="1"/>
        <w:rPr>
          <w:sz w:val="17"/>
        </w:rPr>
      </w:pPr>
    </w:p>
    <w:p>
      <w:pPr>
        <w:pStyle w:val="BodyText"/>
        <w:spacing w:line="244" w:lineRule="auto" w:before="95"/>
        <w:ind w:left="117" w:right="233"/>
      </w:pPr>
      <w:r>
        <w:rPr/>
        <w:t>The Assembly of Heads of State and Government of the Organization of African Unity, meeting in its Thirty-fourth Ordinary Session in Ouagadougou, Burkina Faso, from 8</w:t>
      </w:r>
      <w:r>
        <w:rPr>
          <w:spacing w:val="34"/>
        </w:rPr>
        <w:t> </w:t>
      </w:r>
      <w:r>
        <w:rPr/>
        <w:t>- 10 June, 1998,</w:t>
      </w:r>
    </w:p>
    <w:p>
      <w:pPr>
        <w:pStyle w:val="BodyText"/>
        <w:spacing w:before="10"/>
      </w:pPr>
    </w:p>
    <w:p>
      <w:pPr>
        <w:pStyle w:val="BodyText"/>
        <w:ind w:left="794"/>
      </w:pPr>
      <w:r>
        <w:rPr>
          <w:u w:val="single"/>
        </w:rPr>
        <w:t>Taking</w:t>
      </w:r>
      <w:r>
        <w:rPr>
          <w:spacing w:val="10"/>
          <w:u w:val="single"/>
        </w:rPr>
        <w:t> </w:t>
      </w:r>
      <w:r>
        <w:rPr>
          <w:u w:val="single"/>
        </w:rPr>
        <w:t>note</w:t>
      </w:r>
      <w:r>
        <w:rPr>
          <w:spacing w:val="10"/>
        </w:rPr>
        <w:t> </w:t>
      </w:r>
      <w:r>
        <w:rPr/>
        <w:t>of</w:t>
      </w:r>
      <w:r>
        <w:rPr>
          <w:spacing w:val="9"/>
        </w:rPr>
        <w:t> </w:t>
      </w:r>
      <w:r>
        <w:rPr/>
        <w:t>the</w:t>
      </w:r>
      <w:r>
        <w:rPr>
          <w:spacing w:val="7"/>
        </w:rPr>
        <w:t> </w:t>
      </w:r>
      <w:r>
        <w:rPr/>
        <w:t>Secretary-General's</w:t>
      </w:r>
      <w:r>
        <w:rPr>
          <w:spacing w:val="10"/>
        </w:rPr>
        <w:t> </w:t>
      </w:r>
      <w:r>
        <w:rPr/>
        <w:t>Report</w:t>
      </w:r>
      <w:r>
        <w:rPr>
          <w:spacing w:val="10"/>
        </w:rPr>
        <w:t> </w:t>
      </w:r>
      <w:r>
        <w:rPr/>
        <w:t>on</w:t>
      </w:r>
      <w:r>
        <w:rPr>
          <w:spacing w:val="9"/>
        </w:rPr>
        <w:t> </w:t>
      </w:r>
      <w:r>
        <w:rPr/>
        <w:t>the</w:t>
      </w:r>
      <w:r>
        <w:rPr>
          <w:spacing w:val="10"/>
        </w:rPr>
        <w:t> </w:t>
      </w:r>
      <w:r>
        <w:rPr>
          <w:spacing w:val="-2"/>
        </w:rPr>
        <w:t>dispute,</w:t>
      </w:r>
    </w:p>
    <w:p>
      <w:pPr>
        <w:pStyle w:val="BodyText"/>
        <w:spacing w:before="1"/>
        <w:rPr>
          <w:sz w:val="23"/>
        </w:rPr>
      </w:pPr>
    </w:p>
    <w:p>
      <w:pPr>
        <w:pStyle w:val="BodyText"/>
        <w:spacing w:line="244" w:lineRule="auto"/>
        <w:ind w:left="794"/>
      </w:pPr>
      <w:r>
        <w:rPr>
          <w:u w:val="single"/>
        </w:rPr>
        <w:t>Having heard</w:t>
      </w:r>
      <w:r>
        <w:rPr/>
        <w:t> the report of the OAU Committee of Five following its mission to Britain and meeting with the British Foreign Secretary,</w:t>
      </w:r>
    </w:p>
    <w:p>
      <w:pPr>
        <w:pStyle w:val="BodyText"/>
        <w:spacing w:before="2"/>
        <w:rPr>
          <w:sz w:val="23"/>
        </w:rPr>
      </w:pPr>
    </w:p>
    <w:p>
      <w:pPr>
        <w:pStyle w:val="BodyText"/>
        <w:spacing w:line="244" w:lineRule="auto"/>
        <w:ind w:left="794" w:right="213"/>
      </w:pPr>
      <w:r>
        <w:rPr>
          <w:u w:val="single"/>
        </w:rPr>
        <w:t>Expressing profound gratitude</w:t>
      </w:r>
      <w:r>
        <w:rPr/>
        <w:t> to the Libyan Arab Jamahiriya for the position it has adopted and the positive initiatives it has taken in order to resolve the dispute </w:t>
      </w:r>
      <w:r>
        <w:rPr>
          <w:spacing w:val="-2"/>
        </w:rPr>
        <w:t>peacefully,</w:t>
      </w:r>
    </w:p>
    <w:p>
      <w:pPr>
        <w:pStyle w:val="BodyText"/>
        <w:spacing w:before="9"/>
      </w:pPr>
    </w:p>
    <w:p>
      <w:pPr>
        <w:pStyle w:val="BodyText"/>
        <w:spacing w:before="1"/>
        <w:ind w:left="794"/>
      </w:pPr>
      <w:r>
        <w:rPr>
          <w:u w:val="single"/>
        </w:rPr>
        <w:t>Welcoming</w:t>
      </w:r>
      <w:r>
        <w:rPr/>
        <w:t> the judgement announced by the International Court of Justice or 27 February 1998 confirming its competence to look into the dispute,</w:t>
      </w:r>
    </w:p>
    <w:p>
      <w:pPr>
        <w:pStyle w:val="BodyText"/>
        <w:spacing w:before="2"/>
        <w:rPr>
          <w:sz w:val="23"/>
        </w:rPr>
      </w:pPr>
    </w:p>
    <w:p>
      <w:pPr>
        <w:pStyle w:val="BodyText"/>
        <w:spacing w:line="249" w:lineRule="auto"/>
        <w:ind w:left="794" w:right="233"/>
      </w:pPr>
      <w:r>
        <w:rPr>
          <w:u w:val="single"/>
        </w:rPr>
        <w:t>Welcoming</w:t>
      </w:r>
      <w:r>
        <w:rPr/>
        <w:t> also the positive response of the families of victims to the efforts aimed at the speedy settlement of the dispute,</w:t>
      </w:r>
    </w:p>
    <w:p>
      <w:pPr>
        <w:pStyle w:val="BodyText"/>
        <w:spacing w:before="3"/>
      </w:pPr>
    </w:p>
    <w:p>
      <w:pPr>
        <w:pStyle w:val="BodyText"/>
        <w:spacing w:line="244" w:lineRule="auto"/>
        <w:ind w:left="794" w:right="233"/>
      </w:pPr>
      <w:r>
        <w:rPr>
          <w:u w:val="single"/>
        </w:rPr>
        <w:t>Expressing its deep concern </w:t>
      </w:r>
      <w:r>
        <w:rPr/>
        <w:t>over immense human and material loses to the Libyan people and nationals of other OAU Member States,</w:t>
      </w:r>
    </w:p>
    <w:p>
      <w:pPr>
        <w:pStyle w:val="BodyText"/>
        <w:spacing w:before="9"/>
      </w:pPr>
    </w:p>
    <w:p>
      <w:pPr>
        <w:pStyle w:val="BodyText"/>
        <w:spacing w:line="244" w:lineRule="auto"/>
        <w:ind w:left="794" w:right="233"/>
      </w:pPr>
      <w:r>
        <w:rPr>
          <w:u w:val="single"/>
        </w:rPr>
        <w:t>Expressing its regret</w:t>
      </w:r>
      <w:r>
        <w:rPr/>
        <w:t> for lack of positive response by the United States of America and the United Kingdom to the International and Regional initiatives and efforts aimed</w:t>
      </w:r>
      <w:r>
        <w:rPr>
          <w:spacing w:val="40"/>
        </w:rPr>
        <w:t> </w:t>
      </w:r>
      <w:r>
        <w:rPr/>
        <w:t>at finding a solution to the dispute based on the principles of the international law and within the framework of understanding and constructive dialogue:</w:t>
      </w:r>
    </w:p>
    <w:p>
      <w:pPr>
        <w:pStyle w:val="BodyText"/>
        <w:spacing w:before="10"/>
      </w:pPr>
    </w:p>
    <w:p>
      <w:pPr>
        <w:pStyle w:val="ListParagraph"/>
        <w:numPr>
          <w:ilvl w:val="0"/>
          <w:numId w:val="1"/>
        </w:numPr>
        <w:tabs>
          <w:tab w:pos="459" w:val="left" w:leader="none"/>
        </w:tabs>
        <w:spacing w:line="247" w:lineRule="auto" w:before="1" w:after="0"/>
        <w:ind w:left="458" w:right="552" w:hanging="341"/>
        <w:jc w:val="both"/>
        <w:rPr>
          <w:b/>
          <w:sz w:val="22"/>
        </w:rPr>
      </w:pPr>
      <w:r>
        <w:rPr>
          <w:b/>
          <w:sz w:val="22"/>
        </w:rPr>
        <w:t>CALLS UPON the Security Council to adopt a resolution on suspending the sanctions imposed on Libya under Resolutions 748 (1992) and 883 (1993) until the International Court of Justice pronounces its verdict on the issue;</w:t>
      </w:r>
    </w:p>
    <w:p>
      <w:pPr>
        <w:pStyle w:val="BodyText"/>
        <w:spacing w:before="6"/>
      </w:pPr>
    </w:p>
    <w:p>
      <w:pPr>
        <w:pStyle w:val="ListParagraph"/>
        <w:numPr>
          <w:ilvl w:val="0"/>
          <w:numId w:val="1"/>
        </w:numPr>
        <w:tabs>
          <w:tab w:pos="459" w:val="left" w:leader="none"/>
        </w:tabs>
        <w:spacing w:line="244" w:lineRule="auto" w:before="1" w:after="0"/>
        <w:ind w:left="458" w:right="161" w:hanging="341"/>
        <w:jc w:val="left"/>
        <w:rPr>
          <w:b/>
          <w:sz w:val="22"/>
        </w:rPr>
      </w:pPr>
      <w:r>
        <w:rPr>
          <w:b/>
          <w:sz w:val="22"/>
        </w:rPr>
        <w:t>DECIDES not to comply any longer with Security Council Resolutions 748 (1992) and 883 (1993) on sanctions, with effect from September 1998, if the United States of America and the United Kingdom refuse that the two suspects be tried in a third neutral country pursuant to the verdict of the International Court of Justice by July 1998, date on which</w:t>
      </w:r>
      <w:r>
        <w:rPr>
          <w:b/>
          <w:spacing w:val="80"/>
          <w:sz w:val="22"/>
        </w:rPr>
        <w:t> </w:t>
      </w:r>
      <w:r>
        <w:rPr>
          <w:b/>
          <w:sz w:val="22"/>
        </w:rPr>
        <w:t>the sanctions will be due for review,</w:t>
      </w:r>
      <w:r>
        <w:rPr>
          <w:b/>
          <w:spacing w:val="30"/>
          <w:sz w:val="22"/>
        </w:rPr>
        <w:t> </w:t>
      </w:r>
      <w:r>
        <w:rPr>
          <w:b/>
          <w:sz w:val="22"/>
        </w:rPr>
        <w:t>owing to the fact that the said resolutions violate Article 27 paragraph 3, Article 33 and Article 36 paragraph 3 of the United Nations Charter,</w:t>
      </w:r>
      <w:r>
        <w:rPr>
          <w:b/>
          <w:spacing w:val="26"/>
          <w:sz w:val="22"/>
        </w:rPr>
        <w:t> </w:t>
      </w:r>
      <w:r>
        <w:rPr>
          <w:b/>
          <w:sz w:val="22"/>
        </w:rPr>
        <w:t>and</w:t>
      </w:r>
      <w:r>
        <w:rPr>
          <w:b/>
          <w:spacing w:val="24"/>
          <w:sz w:val="22"/>
        </w:rPr>
        <w:t> </w:t>
      </w:r>
      <w:r>
        <w:rPr>
          <w:b/>
          <w:sz w:val="22"/>
        </w:rPr>
        <w:t>the</w:t>
      </w:r>
      <w:r>
        <w:rPr>
          <w:b/>
          <w:spacing w:val="24"/>
          <w:sz w:val="22"/>
        </w:rPr>
        <w:t> </w:t>
      </w:r>
      <w:r>
        <w:rPr>
          <w:b/>
          <w:sz w:val="22"/>
        </w:rPr>
        <w:t>considerable</w:t>
      </w:r>
      <w:r>
        <w:rPr>
          <w:b/>
          <w:spacing w:val="24"/>
          <w:sz w:val="22"/>
        </w:rPr>
        <w:t> </w:t>
      </w:r>
      <w:r>
        <w:rPr>
          <w:b/>
          <w:sz w:val="22"/>
        </w:rPr>
        <w:t>human</w:t>
      </w:r>
      <w:r>
        <w:rPr>
          <w:b/>
          <w:spacing w:val="24"/>
          <w:sz w:val="22"/>
        </w:rPr>
        <w:t> </w:t>
      </w:r>
      <w:r>
        <w:rPr>
          <w:b/>
          <w:sz w:val="22"/>
        </w:rPr>
        <w:t>and</w:t>
      </w:r>
      <w:r>
        <w:rPr>
          <w:b/>
          <w:spacing w:val="23"/>
          <w:sz w:val="22"/>
        </w:rPr>
        <w:t> </w:t>
      </w:r>
      <w:r>
        <w:rPr>
          <w:b/>
          <w:sz w:val="22"/>
        </w:rPr>
        <w:t>economic</w:t>
      </w:r>
      <w:r>
        <w:rPr>
          <w:b/>
          <w:spacing w:val="24"/>
          <w:sz w:val="22"/>
        </w:rPr>
        <w:t> </w:t>
      </w:r>
      <w:r>
        <w:rPr>
          <w:b/>
          <w:sz w:val="22"/>
        </w:rPr>
        <w:t>losses</w:t>
      </w:r>
      <w:r>
        <w:rPr>
          <w:b/>
          <w:spacing w:val="23"/>
          <w:sz w:val="22"/>
        </w:rPr>
        <w:t> </w:t>
      </w:r>
      <w:r>
        <w:rPr>
          <w:b/>
          <w:sz w:val="22"/>
        </w:rPr>
        <w:t>suffered</w:t>
      </w:r>
      <w:r>
        <w:rPr>
          <w:b/>
          <w:spacing w:val="23"/>
          <w:sz w:val="22"/>
        </w:rPr>
        <w:t> </w:t>
      </w:r>
      <w:r>
        <w:rPr>
          <w:b/>
          <w:sz w:val="22"/>
        </w:rPr>
        <w:t>by</w:t>
      </w:r>
      <w:r>
        <w:rPr>
          <w:b/>
          <w:spacing w:val="23"/>
          <w:sz w:val="22"/>
        </w:rPr>
        <w:t> </w:t>
      </w:r>
      <w:r>
        <w:rPr>
          <w:b/>
          <w:sz w:val="22"/>
        </w:rPr>
        <w:t>Libya</w:t>
      </w:r>
      <w:r>
        <w:rPr>
          <w:b/>
          <w:spacing w:val="26"/>
          <w:sz w:val="22"/>
        </w:rPr>
        <w:t> </w:t>
      </w:r>
      <w:r>
        <w:rPr>
          <w:b/>
          <w:sz w:val="22"/>
        </w:rPr>
        <w:t>and</w:t>
      </w:r>
      <w:r>
        <w:rPr>
          <w:b/>
          <w:spacing w:val="24"/>
          <w:sz w:val="22"/>
        </w:rPr>
        <w:t> </w:t>
      </w:r>
      <w:r>
        <w:rPr>
          <w:b/>
          <w:sz w:val="22"/>
        </w:rPr>
        <w:t>a number of other African peoples as a result of the sanctions;</w:t>
      </w:r>
    </w:p>
    <w:p>
      <w:pPr>
        <w:pStyle w:val="BodyText"/>
        <w:spacing w:before="3"/>
        <w:rPr>
          <w:sz w:val="23"/>
        </w:rPr>
      </w:pPr>
    </w:p>
    <w:p>
      <w:pPr>
        <w:pStyle w:val="ListParagraph"/>
        <w:numPr>
          <w:ilvl w:val="0"/>
          <w:numId w:val="1"/>
        </w:numPr>
        <w:tabs>
          <w:tab w:pos="459" w:val="left" w:leader="none"/>
        </w:tabs>
        <w:spacing w:line="244" w:lineRule="auto" w:before="1" w:after="0"/>
        <w:ind w:left="458" w:right="382" w:hanging="341"/>
        <w:jc w:val="left"/>
        <w:rPr>
          <w:b/>
          <w:sz w:val="22"/>
        </w:rPr>
      </w:pPr>
      <w:r>
        <w:rPr>
          <w:b/>
          <w:sz w:val="22"/>
        </w:rPr>
        <w:t>DECIDES on moral and religious grounds and with immediate effect that the OAU and its members will not comply from now on with the sanctions imposed against Libya</w:t>
      </w:r>
    </w:p>
    <w:p>
      <w:pPr>
        <w:spacing w:after="0" w:line="244" w:lineRule="auto"/>
        <w:jc w:val="left"/>
        <w:rPr>
          <w:sz w:val="22"/>
        </w:rPr>
        <w:sectPr>
          <w:type w:val="continuous"/>
          <w:pgSz w:w="12240" w:h="15840"/>
          <w:pgMar w:top="1300" w:bottom="280" w:left="1500" w:right="1500"/>
        </w:sectPr>
      </w:pPr>
    </w:p>
    <w:p>
      <w:pPr>
        <w:pStyle w:val="BodyText"/>
        <w:spacing w:before="83"/>
        <w:ind w:left="458"/>
      </w:pPr>
      <w:r>
        <w:rPr/>
        <w:t>related to religious obligations, providing humanitarian emergencies or fulfilling OAU statutory obligations;</w:t>
      </w:r>
    </w:p>
    <w:p>
      <w:pPr>
        <w:pStyle w:val="BodyText"/>
        <w:spacing w:before="2"/>
        <w:rPr>
          <w:sz w:val="23"/>
        </w:rPr>
      </w:pPr>
    </w:p>
    <w:p>
      <w:pPr>
        <w:pStyle w:val="ListParagraph"/>
        <w:numPr>
          <w:ilvl w:val="0"/>
          <w:numId w:val="1"/>
        </w:numPr>
        <w:tabs>
          <w:tab w:pos="459" w:val="left" w:leader="none"/>
        </w:tabs>
        <w:spacing w:line="240" w:lineRule="auto" w:before="0" w:after="0"/>
        <w:ind w:left="458" w:right="0" w:hanging="342"/>
        <w:jc w:val="left"/>
        <w:rPr>
          <w:b/>
          <w:sz w:val="22"/>
        </w:rPr>
      </w:pPr>
      <w:r>
        <w:rPr>
          <w:b/>
          <w:sz w:val="22"/>
        </w:rPr>
        <w:t>ENJOINS</w:t>
      </w:r>
      <w:r>
        <w:rPr>
          <w:b/>
          <w:spacing w:val="6"/>
          <w:sz w:val="22"/>
        </w:rPr>
        <w:t> </w:t>
      </w:r>
      <w:r>
        <w:rPr>
          <w:b/>
          <w:sz w:val="22"/>
        </w:rPr>
        <w:t>the</w:t>
      </w:r>
      <w:r>
        <w:rPr>
          <w:b/>
          <w:spacing w:val="7"/>
          <w:sz w:val="22"/>
        </w:rPr>
        <w:t> </w:t>
      </w:r>
      <w:r>
        <w:rPr>
          <w:b/>
          <w:sz w:val="22"/>
        </w:rPr>
        <w:t>OAU</w:t>
      </w:r>
      <w:r>
        <w:rPr>
          <w:b/>
          <w:spacing w:val="6"/>
          <w:sz w:val="22"/>
        </w:rPr>
        <w:t> </w:t>
      </w:r>
      <w:r>
        <w:rPr>
          <w:b/>
          <w:sz w:val="22"/>
        </w:rPr>
        <w:t>Committee</w:t>
      </w:r>
      <w:r>
        <w:rPr>
          <w:b/>
          <w:spacing w:val="7"/>
          <w:sz w:val="22"/>
        </w:rPr>
        <w:t> </w:t>
      </w:r>
      <w:r>
        <w:rPr>
          <w:b/>
          <w:sz w:val="22"/>
        </w:rPr>
        <w:t>of</w:t>
      </w:r>
      <w:r>
        <w:rPr>
          <w:b/>
          <w:spacing w:val="7"/>
          <w:sz w:val="22"/>
        </w:rPr>
        <w:t> </w:t>
      </w:r>
      <w:r>
        <w:rPr>
          <w:b/>
          <w:sz w:val="22"/>
        </w:rPr>
        <w:t>Five</w:t>
      </w:r>
      <w:r>
        <w:rPr>
          <w:b/>
          <w:spacing w:val="7"/>
          <w:sz w:val="22"/>
        </w:rPr>
        <w:t> </w:t>
      </w:r>
      <w:r>
        <w:rPr>
          <w:b/>
          <w:sz w:val="22"/>
        </w:rPr>
        <w:t>to</w:t>
      </w:r>
      <w:r>
        <w:rPr>
          <w:b/>
          <w:spacing w:val="8"/>
          <w:sz w:val="22"/>
        </w:rPr>
        <w:t> </w:t>
      </w:r>
      <w:r>
        <w:rPr>
          <w:b/>
          <w:sz w:val="22"/>
        </w:rPr>
        <w:t>continue</w:t>
      </w:r>
      <w:r>
        <w:rPr>
          <w:b/>
          <w:spacing w:val="6"/>
          <w:sz w:val="22"/>
        </w:rPr>
        <w:t> </w:t>
      </w:r>
      <w:r>
        <w:rPr>
          <w:b/>
          <w:sz w:val="22"/>
        </w:rPr>
        <w:t>with</w:t>
      </w:r>
      <w:r>
        <w:rPr>
          <w:b/>
          <w:spacing w:val="6"/>
          <w:sz w:val="22"/>
        </w:rPr>
        <w:t> </w:t>
      </w:r>
      <w:r>
        <w:rPr>
          <w:b/>
          <w:sz w:val="22"/>
        </w:rPr>
        <w:t>its</w:t>
      </w:r>
      <w:r>
        <w:rPr>
          <w:b/>
          <w:spacing w:val="6"/>
          <w:sz w:val="22"/>
        </w:rPr>
        <w:t> </w:t>
      </w:r>
      <w:r>
        <w:rPr>
          <w:b/>
          <w:spacing w:val="-2"/>
          <w:sz w:val="22"/>
        </w:rPr>
        <w:t>task;</w:t>
      </w:r>
    </w:p>
    <w:p>
      <w:pPr>
        <w:pStyle w:val="BodyText"/>
        <w:spacing w:before="1"/>
        <w:rPr>
          <w:sz w:val="23"/>
        </w:rPr>
      </w:pPr>
    </w:p>
    <w:p>
      <w:pPr>
        <w:pStyle w:val="ListParagraph"/>
        <w:numPr>
          <w:ilvl w:val="0"/>
          <w:numId w:val="1"/>
        </w:numPr>
        <w:tabs>
          <w:tab w:pos="459" w:val="left" w:leader="none"/>
        </w:tabs>
        <w:spacing w:line="249" w:lineRule="auto" w:before="0" w:after="0"/>
        <w:ind w:left="458" w:right="326" w:hanging="341"/>
        <w:jc w:val="left"/>
        <w:rPr>
          <w:b/>
          <w:sz w:val="22"/>
        </w:rPr>
      </w:pPr>
      <w:r>
        <w:rPr>
          <w:b/>
          <w:sz w:val="22"/>
        </w:rPr>
        <w:t>MANDATES the Secretary-General to monitor implementation of this resolution and to submit a report thereupon to the next Session of the Council.</w:t>
      </w:r>
    </w:p>
    <w:sectPr>
      <w:pgSz w:w="12240" w:h="15840"/>
      <w:pgMar w:top="1300" w:bottom="280" w:left="1500" w:right="1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58" w:hanging="341"/>
        <w:jc w:val="left"/>
      </w:pPr>
      <w:rPr>
        <w:rFonts w:hint="default" w:ascii="Times New Roman" w:hAnsi="Times New Roman" w:eastAsia="Times New Roman" w:cs="Times New Roman"/>
        <w:b/>
        <w:bCs/>
        <w:i w:val="0"/>
        <w:iCs w:val="0"/>
        <w:spacing w:val="0"/>
        <w:w w:val="102"/>
        <w:sz w:val="22"/>
        <w:szCs w:val="22"/>
        <w:lang w:val="en-US" w:eastAsia="en-US" w:bidi="ar-SA"/>
      </w:rPr>
    </w:lvl>
    <w:lvl w:ilvl="1">
      <w:start w:val="0"/>
      <w:numFmt w:val="bullet"/>
      <w:lvlText w:val="•"/>
      <w:lvlJc w:val="left"/>
      <w:pPr>
        <w:ind w:left="1338" w:hanging="341"/>
      </w:pPr>
      <w:rPr>
        <w:rFonts w:hint="default"/>
        <w:lang w:val="en-US" w:eastAsia="en-US" w:bidi="ar-SA"/>
      </w:rPr>
    </w:lvl>
    <w:lvl w:ilvl="2">
      <w:start w:val="0"/>
      <w:numFmt w:val="bullet"/>
      <w:lvlText w:val="•"/>
      <w:lvlJc w:val="left"/>
      <w:pPr>
        <w:ind w:left="2216" w:hanging="341"/>
      </w:pPr>
      <w:rPr>
        <w:rFonts w:hint="default"/>
        <w:lang w:val="en-US" w:eastAsia="en-US" w:bidi="ar-SA"/>
      </w:rPr>
    </w:lvl>
    <w:lvl w:ilvl="3">
      <w:start w:val="0"/>
      <w:numFmt w:val="bullet"/>
      <w:lvlText w:val="•"/>
      <w:lvlJc w:val="left"/>
      <w:pPr>
        <w:ind w:left="3094" w:hanging="341"/>
      </w:pPr>
      <w:rPr>
        <w:rFonts w:hint="default"/>
        <w:lang w:val="en-US" w:eastAsia="en-US" w:bidi="ar-SA"/>
      </w:rPr>
    </w:lvl>
    <w:lvl w:ilvl="4">
      <w:start w:val="0"/>
      <w:numFmt w:val="bullet"/>
      <w:lvlText w:val="•"/>
      <w:lvlJc w:val="left"/>
      <w:pPr>
        <w:ind w:left="3972" w:hanging="341"/>
      </w:pPr>
      <w:rPr>
        <w:rFonts w:hint="default"/>
        <w:lang w:val="en-US" w:eastAsia="en-US" w:bidi="ar-SA"/>
      </w:rPr>
    </w:lvl>
    <w:lvl w:ilvl="5">
      <w:start w:val="0"/>
      <w:numFmt w:val="bullet"/>
      <w:lvlText w:val="•"/>
      <w:lvlJc w:val="left"/>
      <w:pPr>
        <w:ind w:left="4850" w:hanging="341"/>
      </w:pPr>
      <w:rPr>
        <w:rFonts w:hint="default"/>
        <w:lang w:val="en-US" w:eastAsia="en-US" w:bidi="ar-SA"/>
      </w:rPr>
    </w:lvl>
    <w:lvl w:ilvl="6">
      <w:start w:val="0"/>
      <w:numFmt w:val="bullet"/>
      <w:lvlText w:val="•"/>
      <w:lvlJc w:val="left"/>
      <w:pPr>
        <w:ind w:left="5728" w:hanging="341"/>
      </w:pPr>
      <w:rPr>
        <w:rFonts w:hint="default"/>
        <w:lang w:val="en-US" w:eastAsia="en-US" w:bidi="ar-SA"/>
      </w:rPr>
    </w:lvl>
    <w:lvl w:ilvl="7">
      <w:start w:val="0"/>
      <w:numFmt w:val="bullet"/>
      <w:lvlText w:val="•"/>
      <w:lvlJc w:val="left"/>
      <w:pPr>
        <w:ind w:left="6606" w:hanging="341"/>
      </w:pPr>
      <w:rPr>
        <w:rFonts w:hint="default"/>
        <w:lang w:val="en-US" w:eastAsia="en-US" w:bidi="ar-SA"/>
      </w:rPr>
    </w:lvl>
    <w:lvl w:ilvl="8">
      <w:start w:val="0"/>
      <w:numFmt w:val="bullet"/>
      <w:lvlText w:val="•"/>
      <w:lvlJc w:val="left"/>
      <w:pPr>
        <w:ind w:left="7484" w:hanging="34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spacing w:before="1"/>
      <w:ind w:left="458" w:hanging="34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 AND DECISIONS ADOPTED BY THE THIRTY-FOURTH ORDINARY SESSION OF THE ASSEMBLY OF HEADS OF STATE AND GOVERNMENT</dc:title>
  <dcterms:created xsi:type="dcterms:W3CDTF">2023-04-01T19:50:53Z</dcterms:created>
  <dcterms:modified xsi:type="dcterms:W3CDTF">2023-04-01T19:50:53Z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2022-11-27T00:00:00Z</vt:filetime>
  </property>
  <property fmtid="{D5CDD505-2E9C-101B-9397-08002B2CF9AE}" pid="3" name="LastSaved">
    <vt:filetime>2023-04-01T00:00:00Z</vt:filetime>
  </property>
  <property fmtid="{D5CDD505-2E9C-101B-9397-08002B2CF9AE}" pid="4" name="Producer">
    <vt:lpwstr>Acrobat PDFWriter 3.02 for Windows NT</vt:lpwstr>
  </property>
</Properties>
</file>