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83"/>
        <w:ind w:left="117" w:right="0" w:firstLine="0"/>
        <w:jc w:val="left"/>
        <w:rPr>
          <w:b/>
          <w:i/>
          <w:sz w:val="22"/>
        </w:rPr>
      </w:pPr>
      <w:r>
        <w:rPr>
          <w:b/>
          <w:i/>
          <w:sz w:val="22"/>
          <w:u w:val="single"/>
        </w:rPr>
        <w:t>AHG/Dec.</w:t>
      </w:r>
      <w:r>
        <w:rPr>
          <w:b/>
          <w:i/>
          <w:spacing w:val="12"/>
          <w:sz w:val="22"/>
          <w:u w:val="single"/>
        </w:rPr>
        <w:t> </w:t>
      </w:r>
      <w:r>
        <w:rPr>
          <w:b/>
          <w:i/>
          <w:sz w:val="22"/>
          <w:u w:val="single"/>
        </w:rPr>
        <w:t>130</w:t>
      </w:r>
      <w:r>
        <w:rPr>
          <w:b/>
          <w:i/>
          <w:spacing w:val="12"/>
          <w:sz w:val="22"/>
          <w:u w:val="single"/>
        </w:rPr>
        <w:t> </w:t>
      </w:r>
      <w:r>
        <w:rPr>
          <w:b/>
          <w:i/>
          <w:spacing w:val="-2"/>
          <w:sz w:val="22"/>
          <w:u w:val="single"/>
        </w:rPr>
        <w:t>(XXXIV)</w:t>
      </w:r>
    </w:p>
    <w:p>
      <w:pPr>
        <w:pStyle w:val="BodyText"/>
        <w:spacing w:before="9"/>
        <w:rPr>
          <w:i/>
          <w:sz w:val="14"/>
        </w:rPr>
      </w:pPr>
    </w:p>
    <w:p>
      <w:pPr>
        <w:pStyle w:val="BodyText"/>
        <w:spacing w:before="96"/>
        <w:ind w:left="1888" w:right="1765"/>
        <w:jc w:val="center"/>
      </w:pPr>
      <w:r>
        <w:rPr>
          <w:u w:val="single"/>
        </w:rPr>
        <w:t>THE</w:t>
      </w:r>
      <w:r>
        <w:rPr>
          <w:spacing w:val="14"/>
          <w:u w:val="single"/>
        </w:rPr>
        <w:t> </w:t>
      </w:r>
      <w:r>
        <w:rPr>
          <w:u w:val="single"/>
        </w:rPr>
        <w:t>DISPUTE</w:t>
      </w:r>
      <w:r>
        <w:rPr>
          <w:spacing w:val="16"/>
          <w:u w:val="single"/>
        </w:rPr>
        <w:t> </w:t>
      </w:r>
      <w:r>
        <w:rPr>
          <w:u w:val="single"/>
        </w:rPr>
        <w:t>BETWEEN</w:t>
      </w:r>
      <w:r>
        <w:rPr>
          <w:spacing w:val="14"/>
          <w:u w:val="single"/>
        </w:rPr>
        <w:t> </w:t>
      </w:r>
      <w:r>
        <w:rPr>
          <w:u w:val="single"/>
        </w:rPr>
        <w:t>ETHIOPIA</w:t>
      </w:r>
      <w:r>
        <w:rPr>
          <w:spacing w:val="15"/>
          <w:u w:val="single"/>
        </w:rPr>
        <w:t> </w:t>
      </w:r>
      <w:r>
        <w:rPr>
          <w:u w:val="single"/>
        </w:rPr>
        <w:t>AND</w:t>
      </w:r>
      <w:r>
        <w:rPr>
          <w:spacing w:val="16"/>
          <w:u w:val="single"/>
        </w:rPr>
        <w:t> </w:t>
      </w:r>
      <w:r>
        <w:rPr>
          <w:spacing w:val="-2"/>
          <w:u w:val="single"/>
        </w:rPr>
        <w:t>ERITREA</w:t>
      </w:r>
    </w:p>
    <w:p>
      <w:pPr>
        <w:pStyle w:val="BodyText"/>
        <w:rPr>
          <w:sz w:val="20"/>
        </w:rPr>
      </w:pPr>
    </w:p>
    <w:p>
      <w:pPr>
        <w:pStyle w:val="BodyText"/>
        <w:spacing w:before="10"/>
        <w:rPr>
          <w:sz w:val="16"/>
        </w:rPr>
      </w:pPr>
    </w:p>
    <w:p>
      <w:pPr>
        <w:pStyle w:val="BodyText"/>
        <w:spacing w:line="247" w:lineRule="auto" w:before="95"/>
        <w:ind w:left="117" w:right="72"/>
      </w:pPr>
      <w:r>
        <w:rPr/>
        <w:t>The Assembly of' Heads of State and Government of the Organization of African Unity, meeting in its Thirty-fourth Ordinary Session in Ouagadougou, Burkina Faso, from 8 to 10 June 1998, examined the on-going crisis between Ethiopia and Eritrea.</w:t>
      </w:r>
      <w:r>
        <w:rPr>
          <w:spacing w:val="40"/>
        </w:rPr>
        <w:t> </w:t>
      </w:r>
      <w:r>
        <w:rPr/>
        <w:t>At the end of the deliberations, the Assembly:</w:t>
      </w:r>
    </w:p>
    <w:p>
      <w:pPr>
        <w:pStyle w:val="BodyText"/>
        <w:spacing w:before="6"/>
      </w:pPr>
    </w:p>
    <w:p>
      <w:pPr>
        <w:pStyle w:val="BodyText"/>
        <w:ind w:left="117"/>
      </w:pPr>
      <w:r>
        <w:rPr/>
        <w:t>EXPRESSED</w:t>
      </w:r>
      <w:r>
        <w:rPr>
          <w:spacing w:val="9"/>
        </w:rPr>
        <w:t> </w:t>
      </w:r>
      <w:r>
        <w:rPr/>
        <w:t>DEEP</w:t>
      </w:r>
      <w:r>
        <w:rPr>
          <w:spacing w:val="9"/>
        </w:rPr>
        <w:t> </w:t>
      </w:r>
      <w:r>
        <w:rPr/>
        <w:t>concern</w:t>
      </w:r>
      <w:r>
        <w:rPr>
          <w:spacing w:val="9"/>
        </w:rPr>
        <w:t> </w:t>
      </w:r>
      <w:r>
        <w:rPr/>
        <w:t>over</w:t>
      </w:r>
      <w:r>
        <w:rPr>
          <w:spacing w:val="9"/>
        </w:rPr>
        <w:t> </w:t>
      </w:r>
      <w:r>
        <w:rPr/>
        <w:t>the</w:t>
      </w:r>
      <w:r>
        <w:rPr>
          <w:spacing w:val="9"/>
        </w:rPr>
        <w:t> </w:t>
      </w:r>
      <w:r>
        <w:rPr/>
        <w:t>escalation</w:t>
      </w:r>
      <w:r>
        <w:rPr>
          <w:spacing w:val="9"/>
        </w:rPr>
        <w:t> </w:t>
      </w:r>
      <w:r>
        <w:rPr/>
        <w:t>of</w:t>
      </w:r>
      <w:r>
        <w:rPr>
          <w:spacing w:val="9"/>
        </w:rPr>
        <w:t> </w:t>
      </w:r>
      <w:r>
        <w:rPr/>
        <w:t>the</w:t>
      </w:r>
      <w:r>
        <w:rPr>
          <w:spacing w:val="9"/>
        </w:rPr>
        <w:t> </w:t>
      </w:r>
      <w:r>
        <w:rPr>
          <w:spacing w:val="-2"/>
        </w:rPr>
        <w:t>conflict;</w:t>
      </w:r>
    </w:p>
    <w:p>
      <w:pPr>
        <w:pStyle w:val="BodyText"/>
        <w:spacing w:before="3"/>
        <w:rPr>
          <w:sz w:val="24"/>
        </w:rPr>
      </w:pPr>
    </w:p>
    <w:p>
      <w:pPr>
        <w:pStyle w:val="ListParagraph"/>
        <w:numPr>
          <w:ilvl w:val="0"/>
          <w:numId w:val="1"/>
        </w:numPr>
        <w:tabs>
          <w:tab w:pos="794" w:val="left" w:leader="none"/>
          <w:tab w:pos="795" w:val="left" w:leader="none"/>
        </w:tabs>
        <w:spacing w:line="247" w:lineRule="auto" w:before="0" w:after="0"/>
        <w:ind w:left="794" w:right="112" w:hanging="336"/>
        <w:jc w:val="left"/>
        <w:rPr>
          <w:b/>
          <w:sz w:val="22"/>
        </w:rPr>
      </w:pPr>
      <w:r>
        <w:rPr>
          <w:b/>
          <w:sz w:val="22"/>
        </w:rPr>
        <w:t>ENDORSED the relevant resolution of the 68</w:t>
      </w:r>
      <w:r>
        <w:rPr>
          <w:b/>
          <w:sz w:val="22"/>
          <w:vertAlign w:val="superscript"/>
        </w:rPr>
        <w:t>t</w:t>
      </w:r>
      <w:r>
        <w:rPr>
          <w:b/>
          <w:sz w:val="22"/>
          <w:vertAlign w:val="superscript"/>
        </w:rPr>
        <w:t>h</w:t>
      </w:r>
      <w:r>
        <w:rPr>
          <w:b/>
          <w:sz w:val="22"/>
          <w:vertAlign w:val="baseline"/>
        </w:rPr>
        <w:t> Ordinary Session of the Council of Ministers on the crisis between Ethiopia and Eritrea and urgently appealed to the two parties to, concurrently and simultaneously, put and end to all hostilities, accept and implement the recommendations of the Facilitators;</w:t>
      </w:r>
    </w:p>
    <w:p>
      <w:pPr>
        <w:pStyle w:val="BodyText"/>
        <w:spacing w:before="7"/>
        <w:rPr>
          <w:sz w:val="23"/>
        </w:rPr>
      </w:pPr>
    </w:p>
    <w:p>
      <w:pPr>
        <w:pStyle w:val="ListParagraph"/>
        <w:numPr>
          <w:ilvl w:val="0"/>
          <w:numId w:val="1"/>
        </w:numPr>
        <w:tabs>
          <w:tab w:pos="794" w:val="left" w:leader="none"/>
          <w:tab w:pos="795" w:val="left" w:leader="none"/>
        </w:tabs>
        <w:spacing w:line="244" w:lineRule="auto" w:before="0" w:after="0"/>
        <w:ind w:left="794" w:right="951" w:hanging="337"/>
        <w:jc w:val="left"/>
        <w:rPr>
          <w:b/>
          <w:sz w:val="22"/>
        </w:rPr>
      </w:pPr>
      <w:r>
        <w:rPr>
          <w:b/>
          <w:sz w:val="22"/>
        </w:rPr>
        <w:t>DECIDED to send to Ethiopia and Eritrea a delegation of Heads of State and Government of the Central Organ, to be led by the Current Chairman.</w:t>
      </w:r>
    </w:p>
    <w:sectPr>
      <w:type w:val="continuous"/>
      <w:pgSz w:w="12240" w:h="15840"/>
      <w:pgMar w:top="1300" w:bottom="280" w:left="1500" w:right="16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794" w:hanging="336"/>
      </w:pPr>
      <w:rPr>
        <w:rFonts w:hint="default" w:ascii="Arial" w:hAnsi="Arial" w:eastAsia="Arial" w:cs="Arial"/>
        <w:b w:val="0"/>
        <w:bCs w:val="0"/>
        <w:i w:val="0"/>
        <w:iCs w:val="0"/>
        <w:w w:val="52"/>
        <w:sz w:val="22"/>
        <w:szCs w:val="22"/>
        <w:lang w:val="en-US" w:eastAsia="en-US" w:bidi="ar-SA"/>
      </w:rPr>
    </w:lvl>
    <w:lvl w:ilvl="1">
      <w:start w:val="0"/>
      <w:numFmt w:val="bullet"/>
      <w:lvlText w:val="•"/>
      <w:lvlJc w:val="left"/>
      <w:pPr>
        <w:ind w:left="1634" w:hanging="336"/>
      </w:pPr>
      <w:rPr>
        <w:rFonts w:hint="default"/>
        <w:lang w:val="en-US" w:eastAsia="en-US" w:bidi="ar-SA"/>
      </w:rPr>
    </w:lvl>
    <w:lvl w:ilvl="2">
      <w:start w:val="0"/>
      <w:numFmt w:val="bullet"/>
      <w:lvlText w:val="•"/>
      <w:lvlJc w:val="left"/>
      <w:pPr>
        <w:ind w:left="2468" w:hanging="336"/>
      </w:pPr>
      <w:rPr>
        <w:rFonts w:hint="default"/>
        <w:lang w:val="en-US" w:eastAsia="en-US" w:bidi="ar-SA"/>
      </w:rPr>
    </w:lvl>
    <w:lvl w:ilvl="3">
      <w:start w:val="0"/>
      <w:numFmt w:val="bullet"/>
      <w:lvlText w:val="•"/>
      <w:lvlJc w:val="left"/>
      <w:pPr>
        <w:ind w:left="3302" w:hanging="336"/>
      </w:pPr>
      <w:rPr>
        <w:rFonts w:hint="default"/>
        <w:lang w:val="en-US" w:eastAsia="en-US" w:bidi="ar-SA"/>
      </w:rPr>
    </w:lvl>
    <w:lvl w:ilvl="4">
      <w:start w:val="0"/>
      <w:numFmt w:val="bullet"/>
      <w:lvlText w:val="•"/>
      <w:lvlJc w:val="left"/>
      <w:pPr>
        <w:ind w:left="4136" w:hanging="336"/>
      </w:pPr>
      <w:rPr>
        <w:rFonts w:hint="default"/>
        <w:lang w:val="en-US" w:eastAsia="en-US" w:bidi="ar-SA"/>
      </w:rPr>
    </w:lvl>
    <w:lvl w:ilvl="5">
      <w:start w:val="0"/>
      <w:numFmt w:val="bullet"/>
      <w:lvlText w:val="•"/>
      <w:lvlJc w:val="left"/>
      <w:pPr>
        <w:ind w:left="4970" w:hanging="336"/>
      </w:pPr>
      <w:rPr>
        <w:rFonts w:hint="default"/>
        <w:lang w:val="en-US" w:eastAsia="en-US" w:bidi="ar-SA"/>
      </w:rPr>
    </w:lvl>
    <w:lvl w:ilvl="6">
      <w:start w:val="0"/>
      <w:numFmt w:val="bullet"/>
      <w:lvlText w:val="•"/>
      <w:lvlJc w:val="left"/>
      <w:pPr>
        <w:ind w:left="5804" w:hanging="336"/>
      </w:pPr>
      <w:rPr>
        <w:rFonts w:hint="default"/>
        <w:lang w:val="en-US" w:eastAsia="en-US" w:bidi="ar-SA"/>
      </w:rPr>
    </w:lvl>
    <w:lvl w:ilvl="7">
      <w:start w:val="0"/>
      <w:numFmt w:val="bullet"/>
      <w:lvlText w:val="•"/>
      <w:lvlJc w:val="left"/>
      <w:pPr>
        <w:ind w:left="6638" w:hanging="336"/>
      </w:pPr>
      <w:rPr>
        <w:rFonts w:hint="default"/>
        <w:lang w:val="en-US" w:eastAsia="en-US" w:bidi="ar-SA"/>
      </w:rPr>
    </w:lvl>
    <w:lvl w:ilvl="8">
      <w:start w:val="0"/>
      <w:numFmt w:val="bullet"/>
      <w:lvlText w:val="•"/>
      <w:lvlJc w:val="left"/>
      <w:pPr>
        <w:ind w:left="7472" w:hanging="336"/>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rPr>
      <w:rFonts w:ascii="Times New Roman" w:hAnsi="Times New Roman" w:eastAsia="Times New Roman" w:cs="Times New Roman"/>
      <w:b/>
      <w:bCs/>
      <w:sz w:val="22"/>
      <w:szCs w:val="22"/>
      <w:lang w:val="en-US" w:eastAsia="en-US" w:bidi="ar-SA"/>
    </w:rPr>
  </w:style>
  <w:style w:styleId="ListParagraph" w:type="paragraph">
    <w:name w:val="List Paragraph"/>
    <w:basedOn w:val="Normal"/>
    <w:uiPriority w:val="1"/>
    <w:qFormat/>
    <w:pPr>
      <w:ind w:left="794" w:right="112" w:hanging="337"/>
    </w:pPr>
    <w:rPr>
      <w:rFonts w:ascii="Times New Roman" w:hAnsi="Times New Roman" w:eastAsia="Times New Roman" w:cs="Times New Roman"/>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dayle</dc:creator>
  <dc:title>DECLARATION AND DECISIONS ADOPTED BY THE THIRTY-FOURTH ORDINARY SESSION OF THE ASSEMBLY OF HEADS OF STATE AND GOVERNMENT</dc:title>
  <dcterms:created xsi:type="dcterms:W3CDTF">2023-04-07T13:01:13Z</dcterms:created>
  <dcterms:modified xsi:type="dcterms:W3CDTF">2023-04-07T13:01:13Z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2022-11-27T00:00:00Z</vt:filetime>
  </property>
  <property fmtid="{D5CDD505-2E9C-101B-9397-08002B2CF9AE}" pid="3" name="LastSaved">
    <vt:filetime>2023-04-07T00:00:00Z</vt:filetime>
  </property>
  <property fmtid="{D5CDD505-2E9C-101B-9397-08002B2CF9AE}" pid="4" name="Producer">
    <vt:lpwstr>Acrobat PDFWriter 3.02 for Windows NT</vt:lpwstr>
  </property>
</Properties>
</file>