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117" w:right="0" w:firstLine="0"/>
        <w:jc w:val="left"/>
        <w:rPr>
          <w:b/>
          <w:i/>
          <w:sz w:val="22"/>
        </w:rPr>
      </w:pPr>
      <w:bookmarkStart w:name="DECISION" w:id="1"/>
      <w:bookmarkEnd w:id="1"/>
      <w:r>
        <w:rPr/>
      </w:r>
      <w:bookmarkStart w:name="DECIDES:" w:id="2"/>
      <w:bookmarkEnd w:id="2"/>
      <w:r>
        <w:rPr/>
      </w:r>
      <w:bookmarkStart w:name="REGULATIONS OF THE COUNCIL OF MINISTERS" w:id="3"/>
      <w:bookmarkEnd w:id="3"/>
      <w:r>
        <w:rPr/>
      </w:r>
      <w:bookmarkStart w:name="IMPLEMENTATION OF THE AEC TREATY" w:id="4"/>
      <w:bookmarkEnd w:id="4"/>
      <w:r>
        <w:rPr/>
      </w:r>
      <w:r>
        <w:rPr>
          <w:b/>
          <w:i/>
          <w:sz w:val="22"/>
        </w:rPr>
        <w:t>AHG/OAU/AEC/Dec.1</w:t>
      </w:r>
      <w:r>
        <w:rPr>
          <w:b/>
          <w:i/>
          <w:spacing w:val="44"/>
          <w:sz w:val="22"/>
        </w:rPr>
        <w:t> </w:t>
      </w:r>
      <w:r>
        <w:rPr>
          <w:b/>
          <w:i/>
          <w:spacing w:val="-2"/>
          <w:sz w:val="22"/>
        </w:rPr>
        <w:t>(III)</w:t>
      </w:r>
    </w:p>
    <w:p>
      <w:pPr>
        <w:pStyle w:val="BodyText"/>
        <w:rPr>
          <w:i/>
          <w:sz w:val="20"/>
        </w:rPr>
      </w:pPr>
    </w:p>
    <w:p>
      <w:pPr>
        <w:pStyle w:val="BodyText"/>
        <w:spacing w:before="10"/>
        <w:rPr>
          <w:i/>
          <w:sz w:val="16"/>
        </w:rPr>
      </w:pPr>
    </w:p>
    <w:p>
      <w:pPr>
        <w:pStyle w:val="Heading1"/>
        <w:spacing w:before="96"/>
        <w:ind w:left="4075" w:right="3972" w:firstLine="0"/>
        <w:jc w:val="center"/>
        <w:rPr>
          <w:u w:val="none"/>
        </w:rPr>
      </w:pPr>
      <w:r>
        <w:rPr>
          <w:spacing w:val="-2"/>
          <w:u w:val="single"/>
        </w:rPr>
        <w:t>DECISION</w:t>
      </w:r>
    </w:p>
    <w:p>
      <w:pPr>
        <w:pStyle w:val="BodyText"/>
        <w:rPr>
          <w:sz w:val="20"/>
        </w:rPr>
      </w:pPr>
    </w:p>
    <w:p>
      <w:pPr>
        <w:pStyle w:val="BodyText"/>
        <w:spacing w:before="8"/>
        <w:rPr>
          <w:sz w:val="17"/>
        </w:rPr>
      </w:pPr>
    </w:p>
    <w:p>
      <w:pPr>
        <w:pStyle w:val="BodyText"/>
        <w:spacing w:before="96"/>
        <w:ind w:left="117"/>
      </w:pPr>
      <w:r>
        <w:rPr/>
        <w:t>The</w:t>
      </w:r>
      <w:r>
        <w:rPr>
          <w:spacing w:val="6"/>
        </w:rPr>
        <w:t> </w:t>
      </w:r>
      <w:r>
        <w:rPr/>
        <w:t>Assembly</w:t>
      </w:r>
      <w:r>
        <w:rPr>
          <w:spacing w:val="6"/>
        </w:rPr>
        <w:t> </w:t>
      </w:r>
      <w:r>
        <w:rPr/>
        <w:t>of</w:t>
      </w:r>
      <w:r>
        <w:rPr>
          <w:spacing w:val="8"/>
        </w:rPr>
        <w:t> </w:t>
      </w:r>
      <w:r>
        <w:rPr/>
        <w:t>Heads</w:t>
      </w:r>
      <w:r>
        <w:rPr>
          <w:spacing w:val="6"/>
        </w:rPr>
        <w:t> </w:t>
      </w:r>
      <w:r>
        <w:rPr/>
        <w:t>of</w:t>
      </w:r>
      <w:r>
        <w:rPr>
          <w:spacing w:val="6"/>
        </w:rPr>
        <w:t> </w:t>
      </w:r>
      <w:r>
        <w:rPr/>
        <w:t>State</w:t>
      </w:r>
      <w:r>
        <w:rPr>
          <w:spacing w:val="7"/>
        </w:rPr>
        <w:t> </w:t>
      </w:r>
      <w:r>
        <w:rPr/>
        <w:t>and</w:t>
      </w:r>
      <w:r>
        <w:rPr>
          <w:spacing w:val="6"/>
        </w:rPr>
        <w:t> </w:t>
      </w:r>
      <w:r>
        <w:rPr>
          <w:spacing w:val="-2"/>
        </w:rPr>
        <w:t>Government,</w:t>
      </w:r>
    </w:p>
    <w:p>
      <w:pPr>
        <w:pStyle w:val="BodyText"/>
        <w:rPr>
          <w:sz w:val="24"/>
        </w:rPr>
      </w:pPr>
    </w:p>
    <w:p>
      <w:pPr>
        <w:pStyle w:val="BodyText"/>
        <w:spacing w:before="7"/>
        <w:rPr>
          <w:sz w:val="21"/>
        </w:rPr>
      </w:pPr>
    </w:p>
    <w:p>
      <w:pPr>
        <w:pStyle w:val="BodyText"/>
        <w:ind w:left="117"/>
      </w:pPr>
      <w:r>
        <w:rPr/>
        <w:t>Considering</w:t>
      </w:r>
      <w:r>
        <w:rPr>
          <w:spacing w:val="11"/>
        </w:rPr>
        <w:t> </w:t>
      </w:r>
      <w:r>
        <w:rPr/>
        <w:t>the</w:t>
      </w:r>
      <w:r>
        <w:rPr>
          <w:spacing w:val="10"/>
        </w:rPr>
        <w:t> </w:t>
      </w:r>
      <w:r>
        <w:rPr/>
        <w:t>Charter</w:t>
      </w:r>
      <w:r>
        <w:rPr>
          <w:spacing w:val="10"/>
        </w:rPr>
        <w:t> </w:t>
      </w:r>
      <w:r>
        <w:rPr/>
        <w:t>of</w:t>
      </w:r>
      <w:r>
        <w:rPr>
          <w:spacing w:val="11"/>
        </w:rPr>
        <w:t> </w:t>
      </w:r>
      <w:r>
        <w:rPr/>
        <w:t>the</w:t>
      </w:r>
      <w:r>
        <w:rPr>
          <w:spacing w:val="10"/>
        </w:rPr>
        <w:t> </w:t>
      </w:r>
      <w:r>
        <w:rPr/>
        <w:t>Organisation</w:t>
      </w:r>
      <w:r>
        <w:rPr>
          <w:spacing w:val="10"/>
        </w:rPr>
        <w:t> </w:t>
      </w:r>
      <w:r>
        <w:rPr/>
        <w:t>of</w:t>
      </w:r>
      <w:r>
        <w:rPr>
          <w:spacing w:val="10"/>
        </w:rPr>
        <w:t> </w:t>
      </w:r>
      <w:r>
        <w:rPr/>
        <w:t>African</w:t>
      </w:r>
      <w:r>
        <w:rPr>
          <w:spacing w:val="9"/>
        </w:rPr>
        <w:t> </w:t>
      </w:r>
      <w:r>
        <w:rPr>
          <w:spacing w:val="-2"/>
        </w:rPr>
        <w:t>Unity,</w:t>
      </w:r>
    </w:p>
    <w:p>
      <w:pPr>
        <w:pStyle w:val="BodyText"/>
        <w:rPr>
          <w:sz w:val="24"/>
        </w:rPr>
      </w:pPr>
    </w:p>
    <w:p>
      <w:pPr>
        <w:pStyle w:val="BodyText"/>
        <w:spacing w:before="7"/>
        <w:rPr>
          <w:sz w:val="21"/>
        </w:rPr>
      </w:pPr>
    </w:p>
    <w:p>
      <w:pPr>
        <w:pStyle w:val="BodyText"/>
        <w:spacing w:line="369" w:lineRule="auto"/>
        <w:ind w:left="117" w:right="165" w:hanging="1"/>
      </w:pPr>
      <w:r>
        <w:rPr/>
        <w:t>Considering the Treaty Establishing the African Economic Community, especially Articles 7,</w:t>
      </w:r>
      <w:r>
        <w:rPr>
          <w:spacing w:val="40"/>
        </w:rPr>
        <w:t> </w:t>
      </w:r>
      <w:r>
        <w:rPr/>
        <w:t>8, 9 and 10 thereof,</w:t>
      </w:r>
    </w:p>
    <w:p>
      <w:pPr>
        <w:pStyle w:val="BodyText"/>
        <w:spacing w:before="1"/>
        <w:rPr>
          <w:sz w:val="34"/>
        </w:rPr>
      </w:pPr>
    </w:p>
    <w:p>
      <w:pPr>
        <w:pStyle w:val="BodyText"/>
        <w:spacing w:line="369" w:lineRule="auto" w:before="1"/>
        <w:ind w:left="117" w:right="283"/>
      </w:pPr>
      <w:r>
        <w:rPr/>
        <w:t>Considering further the Protocol on the Relations between the African Economic Communities and the Regional Economic Communities,</w:t>
      </w:r>
    </w:p>
    <w:p>
      <w:pPr>
        <w:pStyle w:val="BodyText"/>
        <w:spacing w:before="2"/>
        <w:rPr>
          <w:sz w:val="33"/>
        </w:rPr>
      </w:pPr>
    </w:p>
    <w:p>
      <w:pPr>
        <w:pStyle w:val="BodyText"/>
        <w:spacing w:line="372" w:lineRule="auto" w:before="1"/>
        <w:ind w:left="117" w:right="283"/>
      </w:pPr>
      <w:r>
        <w:rPr/>
        <w:t>Having considered the report of the Council of Ministers and the recommendations of the Third Ordinary Session of the Economic and Social Commission (ECOSOC) held in Addis Ababa on 17 June 1999,</w:t>
      </w:r>
    </w:p>
    <w:p>
      <w:pPr>
        <w:pStyle w:val="BodyText"/>
        <w:spacing w:before="3"/>
        <w:rPr>
          <w:sz w:val="33"/>
        </w:rPr>
      </w:pPr>
    </w:p>
    <w:p>
      <w:pPr>
        <w:pStyle w:val="BodyText"/>
        <w:spacing w:before="1"/>
        <w:ind w:left="117"/>
      </w:pPr>
      <w:r>
        <w:rPr/>
        <w:t>Expressing</w:t>
      </w:r>
      <w:r>
        <w:rPr>
          <w:spacing w:val="9"/>
        </w:rPr>
        <w:t> </w:t>
      </w:r>
      <w:r>
        <w:rPr/>
        <w:t>satisfaction</w:t>
      </w:r>
      <w:r>
        <w:rPr>
          <w:spacing w:val="8"/>
        </w:rPr>
        <w:t> </w:t>
      </w:r>
      <w:r>
        <w:rPr/>
        <w:t>at</w:t>
      </w:r>
      <w:r>
        <w:rPr>
          <w:spacing w:val="10"/>
        </w:rPr>
        <w:t> </w:t>
      </w:r>
      <w:r>
        <w:rPr/>
        <w:t>the</w:t>
      </w:r>
      <w:r>
        <w:rPr>
          <w:spacing w:val="8"/>
        </w:rPr>
        <w:t> </w:t>
      </w:r>
      <w:r>
        <w:rPr/>
        <w:t>positive</w:t>
      </w:r>
      <w:r>
        <w:rPr>
          <w:spacing w:val="9"/>
        </w:rPr>
        <w:t> </w:t>
      </w:r>
      <w:r>
        <w:rPr/>
        <w:t>developments</w:t>
      </w:r>
      <w:r>
        <w:rPr>
          <w:spacing w:val="8"/>
        </w:rPr>
        <w:t> </w:t>
      </w:r>
      <w:r>
        <w:rPr/>
        <w:t>regarding</w:t>
      </w:r>
      <w:r>
        <w:rPr>
          <w:spacing w:val="10"/>
        </w:rPr>
        <w:t> </w:t>
      </w:r>
      <w:r>
        <w:rPr/>
        <w:t>the</w:t>
      </w:r>
      <w:r>
        <w:rPr>
          <w:spacing w:val="8"/>
        </w:rPr>
        <w:t> </w:t>
      </w:r>
      <w:r>
        <w:rPr/>
        <w:t>revitalisation</w:t>
      </w:r>
      <w:r>
        <w:rPr>
          <w:spacing w:val="8"/>
        </w:rPr>
        <w:t> </w:t>
      </w:r>
      <w:r>
        <w:rPr/>
        <w:t>of</w:t>
      </w:r>
      <w:r>
        <w:rPr>
          <w:spacing w:val="10"/>
        </w:rPr>
        <w:t> </w:t>
      </w:r>
      <w:r>
        <w:rPr>
          <w:spacing w:val="-2"/>
        </w:rPr>
        <w:t>ECCAS,</w:t>
      </w:r>
    </w:p>
    <w:p>
      <w:pPr>
        <w:pStyle w:val="BodyText"/>
        <w:rPr>
          <w:sz w:val="24"/>
        </w:rPr>
      </w:pPr>
    </w:p>
    <w:p>
      <w:pPr>
        <w:pStyle w:val="BodyText"/>
        <w:spacing w:before="7"/>
        <w:rPr>
          <w:sz w:val="21"/>
        </w:rPr>
      </w:pPr>
    </w:p>
    <w:p>
      <w:pPr>
        <w:pStyle w:val="Heading1"/>
        <w:ind w:left="117" w:firstLine="0"/>
        <w:rPr>
          <w:u w:val="none"/>
        </w:rPr>
      </w:pPr>
      <w:r>
        <w:rPr>
          <w:spacing w:val="-2"/>
          <w:u w:val="single"/>
        </w:rPr>
        <w:t>DECIDES:</w:t>
      </w:r>
    </w:p>
    <w:p>
      <w:pPr>
        <w:pStyle w:val="BodyText"/>
        <w:rPr>
          <w:sz w:val="20"/>
        </w:rPr>
      </w:pPr>
    </w:p>
    <w:p>
      <w:pPr>
        <w:pStyle w:val="BodyText"/>
        <w:spacing w:before="3"/>
        <w:rPr>
          <w:sz w:val="17"/>
        </w:rPr>
      </w:pPr>
    </w:p>
    <w:p>
      <w:pPr>
        <w:pStyle w:val="ListParagraph"/>
        <w:numPr>
          <w:ilvl w:val="0"/>
          <w:numId w:val="1"/>
        </w:numPr>
        <w:tabs>
          <w:tab w:pos="794" w:val="left" w:leader="none"/>
          <w:tab w:pos="795" w:val="left" w:leader="none"/>
        </w:tabs>
        <w:spacing w:line="240" w:lineRule="auto" w:before="96" w:after="0"/>
        <w:ind w:left="794" w:right="0" w:hanging="678"/>
        <w:jc w:val="left"/>
        <w:rPr>
          <w:b/>
          <w:sz w:val="22"/>
        </w:rPr>
      </w:pPr>
      <w:r>
        <w:rPr>
          <w:b/>
          <w:sz w:val="22"/>
          <w:u w:val="single"/>
        </w:rPr>
        <w:t>REGULATIONS</w:t>
      </w:r>
      <w:r>
        <w:rPr>
          <w:b/>
          <w:spacing w:val="13"/>
          <w:sz w:val="22"/>
          <w:u w:val="single"/>
        </w:rPr>
        <w:t> </w:t>
      </w:r>
      <w:r>
        <w:rPr>
          <w:b/>
          <w:sz w:val="22"/>
          <w:u w:val="single"/>
        </w:rPr>
        <w:t>OF</w:t>
      </w:r>
      <w:r>
        <w:rPr>
          <w:b/>
          <w:spacing w:val="13"/>
          <w:sz w:val="22"/>
          <w:u w:val="single"/>
        </w:rPr>
        <w:t> </w:t>
      </w:r>
      <w:r>
        <w:rPr>
          <w:b/>
          <w:sz w:val="22"/>
          <w:u w:val="single"/>
        </w:rPr>
        <w:t>THE</w:t>
      </w:r>
      <w:r>
        <w:rPr>
          <w:b/>
          <w:spacing w:val="14"/>
          <w:sz w:val="22"/>
          <w:u w:val="single"/>
        </w:rPr>
        <w:t> </w:t>
      </w:r>
      <w:r>
        <w:rPr>
          <w:b/>
          <w:sz w:val="22"/>
          <w:u w:val="single"/>
        </w:rPr>
        <w:t>COUNCIL</w:t>
      </w:r>
      <w:r>
        <w:rPr>
          <w:b/>
          <w:spacing w:val="13"/>
          <w:sz w:val="22"/>
          <w:u w:val="single"/>
        </w:rPr>
        <w:t> </w:t>
      </w:r>
      <w:r>
        <w:rPr>
          <w:b/>
          <w:sz w:val="22"/>
          <w:u w:val="single"/>
        </w:rPr>
        <w:t>OF</w:t>
      </w:r>
      <w:r>
        <w:rPr>
          <w:b/>
          <w:spacing w:val="14"/>
          <w:sz w:val="22"/>
          <w:u w:val="single"/>
        </w:rPr>
        <w:t> </w:t>
      </w:r>
      <w:r>
        <w:rPr>
          <w:b/>
          <w:spacing w:val="-2"/>
          <w:sz w:val="22"/>
          <w:u w:val="single"/>
        </w:rPr>
        <w:t>MINISTERS</w:t>
      </w:r>
    </w:p>
    <w:p>
      <w:pPr>
        <w:pStyle w:val="BodyText"/>
        <w:rPr>
          <w:sz w:val="20"/>
        </w:rPr>
      </w:pPr>
    </w:p>
    <w:p>
      <w:pPr>
        <w:pStyle w:val="BodyText"/>
        <w:spacing w:before="8"/>
        <w:rPr>
          <w:sz w:val="17"/>
        </w:rPr>
      </w:pPr>
    </w:p>
    <w:p>
      <w:pPr>
        <w:pStyle w:val="BodyText"/>
        <w:spacing w:line="364" w:lineRule="auto" w:before="96"/>
        <w:ind w:left="794" w:right="283"/>
      </w:pPr>
      <w:r>
        <w:rPr/>
        <w:t>Regulations CM/AEC/Regl.1 (IV), CM/OAU/AEC/Regl. 1 (V) and CM/OAU/AEC/Regl. 2 (V) of the Council of Ministers are hereby approved.</w:t>
      </w:r>
    </w:p>
    <w:p>
      <w:pPr>
        <w:pStyle w:val="BodyText"/>
        <w:spacing w:before="6"/>
        <w:rPr>
          <w:sz w:val="34"/>
        </w:rPr>
      </w:pPr>
    </w:p>
    <w:p>
      <w:pPr>
        <w:pStyle w:val="Heading1"/>
        <w:numPr>
          <w:ilvl w:val="0"/>
          <w:numId w:val="1"/>
        </w:numPr>
        <w:tabs>
          <w:tab w:pos="794" w:val="left" w:leader="none"/>
          <w:tab w:pos="795" w:val="left" w:leader="none"/>
        </w:tabs>
        <w:spacing w:line="240" w:lineRule="auto" w:before="0" w:after="0"/>
        <w:ind w:left="794" w:right="0" w:hanging="678"/>
        <w:jc w:val="left"/>
        <w:rPr>
          <w:u w:val="none"/>
        </w:rPr>
      </w:pPr>
      <w:r>
        <w:rPr>
          <w:u w:val="single"/>
        </w:rPr>
        <w:t>IMPLEMENTATION</w:t>
      </w:r>
      <w:r>
        <w:rPr>
          <w:spacing w:val="12"/>
          <w:u w:val="single"/>
        </w:rPr>
        <w:t> </w:t>
      </w:r>
      <w:r>
        <w:rPr>
          <w:u w:val="single"/>
        </w:rPr>
        <w:t>OF</w:t>
      </w:r>
      <w:r>
        <w:rPr>
          <w:spacing w:val="15"/>
          <w:u w:val="single"/>
        </w:rPr>
        <w:t> </w:t>
      </w:r>
      <w:r>
        <w:rPr>
          <w:u w:val="single"/>
        </w:rPr>
        <w:t>THE</w:t>
      </w:r>
      <w:r>
        <w:rPr>
          <w:spacing w:val="14"/>
          <w:u w:val="single"/>
        </w:rPr>
        <w:t> </w:t>
      </w:r>
      <w:r>
        <w:rPr>
          <w:u w:val="single"/>
        </w:rPr>
        <w:t>AEC</w:t>
      </w:r>
      <w:r>
        <w:rPr>
          <w:spacing w:val="15"/>
          <w:u w:val="single"/>
        </w:rPr>
        <w:t> </w:t>
      </w:r>
      <w:r>
        <w:rPr>
          <w:spacing w:val="-2"/>
          <w:u w:val="single"/>
        </w:rPr>
        <w:t>TREATY</w:t>
      </w:r>
    </w:p>
    <w:p>
      <w:pPr>
        <w:pStyle w:val="BodyText"/>
        <w:rPr>
          <w:sz w:val="20"/>
        </w:rPr>
      </w:pPr>
    </w:p>
    <w:p>
      <w:pPr>
        <w:pStyle w:val="BodyText"/>
        <w:spacing w:before="4"/>
        <w:rPr>
          <w:sz w:val="17"/>
        </w:rPr>
      </w:pPr>
    </w:p>
    <w:p>
      <w:pPr>
        <w:pStyle w:val="ListParagraph"/>
        <w:numPr>
          <w:ilvl w:val="1"/>
          <w:numId w:val="1"/>
        </w:numPr>
        <w:tabs>
          <w:tab w:pos="1174" w:val="left" w:leader="none"/>
        </w:tabs>
        <w:spacing w:line="369" w:lineRule="auto" w:before="96" w:after="0"/>
        <w:ind w:left="1173" w:right="394" w:hanging="380"/>
        <w:jc w:val="left"/>
        <w:rPr>
          <w:b/>
          <w:sz w:val="22"/>
        </w:rPr>
      </w:pPr>
      <w:r>
        <w:rPr>
          <w:b/>
          <w:sz w:val="22"/>
        </w:rPr>
        <w:t>Note is taken of the end of the first stage of implementation of the AEC as provided for under the Abuja Treaty and Member States should intensify their efforts towards strengthening the existing RECs to which they belong;</w:t>
      </w:r>
    </w:p>
    <w:p>
      <w:pPr>
        <w:spacing w:after="0" w:line="369" w:lineRule="auto"/>
        <w:jc w:val="left"/>
        <w:rPr>
          <w:sz w:val="22"/>
        </w:rPr>
        <w:sectPr>
          <w:headerReference w:type="default" r:id="rId5"/>
          <w:footerReference w:type="default" r:id="rId6"/>
          <w:type w:val="continuous"/>
          <w:pgSz w:w="12240" w:h="15840"/>
          <w:pgMar w:header="458" w:footer="670" w:top="1280" w:bottom="860" w:left="1500" w:right="1580"/>
          <w:pgNumType w:start="10"/>
        </w:sectPr>
      </w:pPr>
    </w:p>
    <w:p>
      <w:pPr>
        <w:pStyle w:val="ListParagraph"/>
        <w:numPr>
          <w:ilvl w:val="1"/>
          <w:numId w:val="1"/>
        </w:numPr>
        <w:tabs>
          <w:tab w:pos="1174" w:val="left" w:leader="none"/>
        </w:tabs>
        <w:spacing w:line="367" w:lineRule="auto" w:before="85" w:after="0"/>
        <w:ind w:left="1173" w:right="208" w:hanging="380"/>
        <w:jc w:val="left"/>
        <w:rPr>
          <w:b/>
          <w:sz w:val="22"/>
        </w:rPr>
      </w:pPr>
      <w:bookmarkStart w:name="RATIFICATION OF THE TREATY" w:id="5"/>
      <w:bookmarkEnd w:id="5"/>
      <w:r>
        <w:rPr/>
      </w:r>
      <w:bookmarkStart w:name="BUDGET OF THE COMMUNITY" w:id="6"/>
      <w:bookmarkEnd w:id="6"/>
      <w:r>
        <w:rPr>
          <w:b/>
          <w:sz w:val="22"/>
        </w:rPr>
        <w:t>E</w:t>
      </w:r>
      <w:r>
        <w:rPr>
          <w:b/>
          <w:sz w:val="22"/>
        </w:rPr>
        <w:t>ach REC is to submit to its policy organs an assessment of the progress made during the first stage, and inform ECOSOC of any additional requirements to be met for complying with the conditions needed to complete the first phase;</w:t>
      </w:r>
    </w:p>
    <w:p>
      <w:pPr>
        <w:pStyle w:val="BodyText"/>
        <w:spacing w:before="3"/>
        <w:rPr>
          <w:sz w:val="34"/>
        </w:rPr>
      </w:pPr>
    </w:p>
    <w:p>
      <w:pPr>
        <w:pStyle w:val="ListParagraph"/>
        <w:numPr>
          <w:ilvl w:val="1"/>
          <w:numId w:val="1"/>
        </w:numPr>
        <w:tabs>
          <w:tab w:pos="1173" w:val="left" w:leader="none"/>
          <w:tab w:pos="1174" w:val="left" w:leader="none"/>
        </w:tabs>
        <w:spacing w:line="369" w:lineRule="auto" w:before="0" w:after="0"/>
        <w:ind w:left="1173" w:right="124" w:hanging="380"/>
        <w:jc w:val="left"/>
        <w:rPr>
          <w:b/>
          <w:sz w:val="22"/>
        </w:rPr>
      </w:pPr>
      <w:r>
        <w:rPr>
          <w:b/>
          <w:sz w:val="22"/>
        </w:rPr>
        <w:t>The RECs should submit to the Fourth Session of ECOSOC their respective programmes for implementing the second phase and a progress report thereon, as well as prospects and constraints;</w:t>
      </w:r>
    </w:p>
    <w:p>
      <w:pPr>
        <w:pStyle w:val="BodyText"/>
        <w:spacing w:before="7"/>
        <w:rPr>
          <w:sz w:val="33"/>
        </w:rPr>
      </w:pPr>
    </w:p>
    <w:p>
      <w:pPr>
        <w:pStyle w:val="ListParagraph"/>
        <w:numPr>
          <w:ilvl w:val="1"/>
          <w:numId w:val="1"/>
        </w:numPr>
        <w:tabs>
          <w:tab w:pos="1174" w:val="left" w:leader="none"/>
        </w:tabs>
        <w:spacing w:line="369" w:lineRule="auto" w:before="0" w:after="0"/>
        <w:ind w:left="1173" w:right="112" w:hanging="380"/>
        <w:jc w:val="left"/>
        <w:rPr>
          <w:b/>
          <w:sz w:val="22"/>
        </w:rPr>
      </w:pPr>
      <w:r>
        <w:rPr>
          <w:b/>
          <w:sz w:val="22"/>
        </w:rPr>
        <w:t>The RECs, within the framework of the Specialised Technical Committees, should establish benchmarks for each sector to enhance assessment of the progress of integration, and regularly provide the OAU/AEC Secretariat with their sectoral work programmes in order to facilitate programme co-ordination and </w:t>
      </w:r>
      <w:r>
        <w:rPr>
          <w:b/>
          <w:spacing w:val="-2"/>
          <w:sz w:val="22"/>
        </w:rPr>
        <w:t>harmonisation;</w:t>
      </w:r>
    </w:p>
    <w:p>
      <w:pPr>
        <w:pStyle w:val="BodyText"/>
        <w:spacing w:before="6"/>
        <w:rPr>
          <w:sz w:val="33"/>
        </w:rPr>
      </w:pPr>
    </w:p>
    <w:p>
      <w:pPr>
        <w:pStyle w:val="ListParagraph"/>
        <w:numPr>
          <w:ilvl w:val="1"/>
          <w:numId w:val="1"/>
        </w:numPr>
        <w:tabs>
          <w:tab w:pos="1173" w:val="left" w:leader="none"/>
          <w:tab w:pos="1174" w:val="left" w:leader="none"/>
        </w:tabs>
        <w:spacing w:line="374" w:lineRule="auto" w:before="0" w:after="0"/>
        <w:ind w:left="1173" w:right="184" w:hanging="380"/>
        <w:jc w:val="left"/>
        <w:rPr>
          <w:b/>
          <w:sz w:val="22"/>
        </w:rPr>
      </w:pPr>
      <w:r>
        <w:rPr>
          <w:b/>
          <w:sz w:val="22"/>
        </w:rPr>
        <w:t>The Chairman of each REC is to submit a report to the Assembly on the progress made in the implementation of the AEC Treaty;</w:t>
      </w:r>
    </w:p>
    <w:p>
      <w:pPr>
        <w:pStyle w:val="BodyText"/>
        <w:spacing w:before="2"/>
        <w:rPr>
          <w:sz w:val="33"/>
        </w:rPr>
      </w:pPr>
    </w:p>
    <w:p>
      <w:pPr>
        <w:pStyle w:val="ListParagraph"/>
        <w:numPr>
          <w:ilvl w:val="1"/>
          <w:numId w:val="1"/>
        </w:numPr>
        <w:tabs>
          <w:tab w:pos="1173" w:val="left" w:leader="none"/>
          <w:tab w:pos="1174" w:val="left" w:leader="none"/>
        </w:tabs>
        <w:spacing w:line="369" w:lineRule="auto" w:before="0" w:after="0"/>
        <w:ind w:left="1173" w:right="237" w:hanging="380"/>
        <w:jc w:val="left"/>
        <w:rPr>
          <w:b/>
          <w:sz w:val="22"/>
        </w:rPr>
      </w:pPr>
      <w:r>
        <w:rPr>
          <w:b/>
          <w:sz w:val="22"/>
        </w:rPr>
        <w:t>To reaffirm their commitment under the AEC Treaty, especially those regarding the implementation of the legally binding Decisions of the AEC Summit, all Member States are to set up the requisite national modalities and machinery to facilitate the incorporation of AEC decisions in their national</w:t>
      </w:r>
      <w:r>
        <w:rPr>
          <w:b/>
          <w:spacing w:val="40"/>
          <w:sz w:val="22"/>
        </w:rPr>
        <w:t> </w:t>
      </w:r>
      <w:r>
        <w:rPr>
          <w:b/>
          <w:sz w:val="22"/>
        </w:rPr>
        <w:t>legislation.</w:t>
      </w:r>
    </w:p>
    <w:p>
      <w:pPr>
        <w:pStyle w:val="BodyText"/>
        <w:spacing w:before="6"/>
        <w:rPr>
          <w:sz w:val="33"/>
        </w:rPr>
      </w:pPr>
    </w:p>
    <w:p>
      <w:pPr>
        <w:pStyle w:val="Heading1"/>
        <w:numPr>
          <w:ilvl w:val="0"/>
          <w:numId w:val="1"/>
        </w:numPr>
        <w:tabs>
          <w:tab w:pos="794" w:val="left" w:leader="none"/>
          <w:tab w:pos="795" w:val="left" w:leader="none"/>
        </w:tabs>
        <w:spacing w:line="240" w:lineRule="auto" w:before="0" w:after="0"/>
        <w:ind w:left="794" w:right="0" w:hanging="678"/>
        <w:jc w:val="left"/>
        <w:rPr>
          <w:u w:val="none"/>
        </w:rPr>
      </w:pPr>
      <w:r>
        <w:rPr>
          <w:u w:val="single"/>
        </w:rPr>
        <w:t>RATIFICATION</w:t>
      </w:r>
      <w:r>
        <w:rPr>
          <w:spacing w:val="13"/>
          <w:u w:val="single"/>
        </w:rPr>
        <w:t> </w:t>
      </w:r>
      <w:r>
        <w:rPr>
          <w:u w:val="single"/>
        </w:rPr>
        <w:t>OF</w:t>
      </w:r>
      <w:r>
        <w:rPr>
          <w:spacing w:val="12"/>
          <w:u w:val="single"/>
        </w:rPr>
        <w:t> </w:t>
      </w:r>
      <w:r>
        <w:rPr>
          <w:u w:val="single"/>
        </w:rPr>
        <w:t>THE</w:t>
      </w:r>
      <w:r>
        <w:rPr>
          <w:spacing w:val="13"/>
          <w:u w:val="single"/>
        </w:rPr>
        <w:t> </w:t>
      </w:r>
      <w:r>
        <w:rPr>
          <w:spacing w:val="-2"/>
          <w:u w:val="single"/>
        </w:rPr>
        <w:t>TREATY</w:t>
      </w:r>
    </w:p>
    <w:p>
      <w:pPr>
        <w:pStyle w:val="BodyText"/>
        <w:rPr>
          <w:sz w:val="20"/>
        </w:rPr>
      </w:pPr>
    </w:p>
    <w:p>
      <w:pPr>
        <w:pStyle w:val="BodyText"/>
        <w:spacing w:before="9"/>
        <w:rPr>
          <w:sz w:val="17"/>
        </w:rPr>
      </w:pPr>
    </w:p>
    <w:p>
      <w:pPr>
        <w:pStyle w:val="BodyText"/>
        <w:spacing w:line="364" w:lineRule="auto" w:before="95"/>
        <w:ind w:left="794" w:right="283" w:hanging="1"/>
      </w:pPr>
      <w:r>
        <w:rPr/>
        <w:t>All Member States concerned are to take appropriate measures to ratify or accede to the AEC Treaty;</w:t>
      </w:r>
    </w:p>
    <w:p>
      <w:pPr>
        <w:pStyle w:val="BodyText"/>
        <w:spacing w:before="7"/>
        <w:rPr>
          <w:sz w:val="34"/>
        </w:rPr>
      </w:pPr>
    </w:p>
    <w:p>
      <w:pPr>
        <w:pStyle w:val="Heading1"/>
        <w:numPr>
          <w:ilvl w:val="0"/>
          <w:numId w:val="1"/>
        </w:numPr>
        <w:tabs>
          <w:tab w:pos="794" w:val="left" w:leader="none"/>
          <w:tab w:pos="795" w:val="left" w:leader="none"/>
        </w:tabs>
        <w:spacing w:line="240" w:lineRule="auto" w:before="0" w:after="0"/>
        <w:ind w:left="794" w:right="0" w:hanging="678"/>
        <w:jc w:val="left"/>
        <w:rPr>
          <w:u w:val="none"/>
        </w:rPr>
      </w:pPr>
      <w:r>
        <w:rPr>
          <w:u w:val="single"/>
        </w:rPr>
        <w:t>BUDGET</w:t>
      </w:r>
      <w:r>
        <w:rPr>
          <w:spacing w:val="10"/>
          <w:u w:val="single"/>
        </w:rPr>
        <w:t> </w:t>
      </w:r>
      <w:r>
        <w:rPr>
          <w:u w:val="single"/>
        </w:rPr>
        <w:t>OF</w:t>
      </w:r>
      <w:r>
        <w:rPr>
          <w:spacing w:val="10"/>
          <w:u w:val="single"/>
        </w:rPr>
        <w:t> </w:t>
      </w:r>
      <w:r>
        <w:rPr>
          <w:u w:val="single"/>
        </w:rPr>
        <w:t>THE</w:t>
      </w:r>
      <w:r>
        <w:rPr>
          <w:spacing w:val="11"/>
          <w:u w:val="single"/>
        </w:rPr>
        <w:t> </w:t>
      </w:r>
      <w:r>
        <w:rPr>
          <w:spacing w:val="-2"/>
          <w:u w:val="single"/>
        </w:rPr>
        <w:t>COMMUNITY</w:t>
      </w:r>
    </w:p>
    <w:p>
      <w:pPr>
        <w:pStyle w:val="BodyText"/>
        <w:rPr>
          <w:sz w:val="20"/>
        </w:rPr>
      </w:pPr>
    </w:p>
    <w:p>
      <w:pPr>
        <w:pStyle w:val="BodyText"/>
        <w:spacing w:before="3"/>
        <w:rPr>
          <w:sz w:val="17"/>
        </w:rPr>
      </w:pPr>
    </w:p>
    <w:p>
      <w:pPr>
        <w:pStyle w:val="BodyText"/>
        <w:spacing w:line="369" w:lineRule="auto" w:before="96"/>
        <w:ind w:left="794" w:right="283"/>
      </w:pPr>
      <w:r>
        <w:rPr/>
        <w:t>The Committee on Co-ordination, under Article 6 of the Protocol on Relations between the AEC and the RECs, should give priority to the preparation of the AEC budget, and the Secretariat is to intensity its efforts at mobilising extra-budgetary </w:t>
      </w:r>
      <w:r>
        <w:rPr>
          <w:spacing w:val="-2"/>
        </w:rPr>
        <w:t>resources;</w:t>
      </w:r>
    </w:p>
    <w:p>
      <w:pPr>
        <w:spacing w:after="0" w:line="369" w:lineRule="auto"/>
        <w:sectPr>
          <w:pgSz w:w="12240" w:h="15840"/>
          <w:pgMar w:header="458" w:footer="670" w:top="1280" w:bottom="860" w:left="1500" w:right="1580"/>
        </w:sectPr>
      </w:pPr>
    </w:p>
    <w:p>
      <w:pPr>
        <w:pStyle w:val="Heading1"/>
        <w:numPr>
          <w:ilvl w:val="0"/>
          <w:numId w:val="1"/>
        </w:numPr>
        <w:tabs>
          <w:tab w:pos="794" w:val="left" w:leader="none"/>
          <w:tab w:pos="795" w:val="left" w:leader="none"/>
        </w:tabs>
        <w:spacing w:line="240" w:lineRule="auto" w:before="85" w:after="0"/>
        <w:ind w:left="794" w:right="0" w:hanging="678"/>
        <w:jc w:val="left"/>
        <w:rPr>
          <w:u w:val="none"/>
        </w:rPr>
      </w:pPr>
      <w:bookmarkStart w:name="OAU-EU SUMMIT" w:id="7"/>
      <w:bookmarkEnd w:id="7"/>
      <w:r>
        <w:rPr>
          <w:u w:val="single"/>
        </w:rPr>
        <w:t>O</w:t>
      </w:r>
      <w:r>
        <w:rPr>
          <w:u w:val="single"/>
        </w:rPr>
        <w:t>AU-EU</w:t>
      </w:r>
      <w:r>
        <w:rPr>
          <w:spacing w:val="21"/>
          <w:u w:val="single"/>
        </w:rPr>
        <w:t> </w:t>
      </w:r>
      <w:r>
        <w:rPr>
          <w:spacing w:val="-2"/>
          <w:u w:val="single"/>
        </w:rPr>
        <w:t>SUMMIT</w:t>
      </w:r>
    </w:p>
    <w:p>
      <w:pPr>
        <w:pStyle w:val="BodyText"/>
        <w:rPr>
          <w:sz w:val="20"/>
        </w:rPr>
      </w:pPr>
    </w:p>
    <w:p>
      <w:pPr>
        <w:pStyle w:val="BodyText"/>
        <w:spacing w:before="10"/>
        <w:rPr>
          <w:sz w:val="16"/>
        </w:rPr>
      </w:pPr>
    </w:p>
    <w:p>
      <w:pPr>
        <w:pStyle w:val="BodyText"/>
        <w:spacing w:line="369" w:lineRule="auto" w:before="96"/>
        <w:ind w:left="794" w:right="165"/>
      </w:pPr>
      <w:r>
        <w:rPr/>
        <w:t>Support is reiterated for the holding of the proposed Summit with the EU and while requesting the OAU Preparatory Committee to continue to overview the contacts with the EU, mandate is given to a Core Group of that Committee to undertake</w:t>
      </w:r>
      <w:r>
        <w:rPr>
          <w:spacing w:val="80"/>
        </w:rPr>
        <w:t> </w:t>
      </w:r>
      <w:r>
        <w:rPr/>
        <w:t>consultations with the relevant EU Group with a view to clearing all obstacles and determining the best ways and means for the convening of the Summit.</w:t>
      </w:r>
    </w:p>
    <w:p>
      <w:pPr>
        <w:pStyle w:val="BodyText"/>
        <w:rPr>
          <w:sz w:val="24"/>
        </w:rPr>
      </w:pPr>
    </w:p>
    <w:p>
      <w:pPr>
        <w:pStyle w:val="BodyText"/>
        <w:rPr>
          <w:sz w:val="24"/>
        </w:rPr>
      </w:pPr>
    </w:p>
    <w:p>
      <w:pPr>
        <w:pStyle w:val="BodyText"/>
        <w:spacing w:before="8"/>
        <w:rPr>
          <w:sz w:val="19"/>
        </w:rPr>
      </w:pPr>
    </w:p>
    <w:p>
      <w:pPr>
        <w:pStyle w:val="BodyText"/>
        <w:ind w:left="117"/>
      </w:pPr>
      <w:r>
        <w:rPr/>
        <w:t>Done</w:t>
      </w:r>
      <w:r>
        <w:rPr>
          <w:spacing w:val="4"/>
        </w:rPr>
        <w:t> </w:t>
      </w:r>
      <w:r>
        <w:rPr/>
        <w:t>in</w:t>
      </w:r>
      <w:r>
        <w:rPr>
          <w:spacing w:val="4"/>
        </w:rPr>
        <w:t> </w:t>
      </w:r>
      <w:r>
        <w:rPr/>
        <w:t>Algiers,</w:t>
      </w:r>
      <w:r>
        <w:rPr>
          <w:spacing w:val="6"/>
        </w:rPr>
        <w:t> </w:t>
      </w:r>
      <w:r>
        <w:rPr/>
        <w:t>Algeria</w:t>
      </w:r>
      <w:r>
        <w:rPr>
          <w:spacing w:val="5"/>
        </w:rPr>
        <w:t> </w:t>
      </w:r>
      <w:r>
        <w:rPr/>
        <w:t>on</w:t>
      </w:r>
      <w:r>
        <w:rPr>
          <w:spacing w:val="5"/>
        </w:rPr>
        <w:t> </w:t>
      </w:r>
      <w:r>
        <w:rPr/>
        <w:t>14</w:t>
      </w:r>
      <w:r>
        <w:rPr>
          <w:spacing w:val="5"/>
        </w:rPr>
        <w:t> </w:t>
      </w:r>
      <w:r>
        <w:rPr/>
        <w:t>July,</w:t>
      </w:r>
      <w:r>
        <w:rPr>
          <w:spacing w:val="5"/>
        </w:rPr>
        <w:t> </w:t>
      </w:r>
      <w:r>
        <w:rPr>
          <w:spacing w:val="-4"/>
        </w:rPr>
        <w:t>1999</w:t>
      </w:r>
    </w:p>
    <w:p>
      <w:pPr>
        <w:pStyle w:val="BodyText"/>
        <w:rPr>
          <w:sz w:val="24"/>
        </w:rPr>
      </w:pPr>
    </w:p>
    <w:p>
      <w:pPr>
        <w:pStyle w:val="BodyText"/>
        <w:spacing w:before="1"/>
      </w:pPr>
    </w:p>
    <w:p>
      <w:pPr>
        <w:pStyle w:val="BodyText"/>
        <w:ind w:left="117"/>
      </w:pPr>
      <w:r>
        <w:rPr/>
        <w:t>Abdellaziz</w:t>
      </w:r>
      <w:r>
        <w:rPr>
          <w:spacing w:val="23"/>
        </w:rPr>
        <w:t> </w:t>
      </w:r>
      <w:r>
        <w:rPr>
          <w:spacing w:val="-2"/>
        </w:rPr>
        <w:t>BOUTEFLIKA</w:t>
      </w:r>
    </w:p>
    <w:p>
      <w:pPr>
        <w:pStyle w:val="BodyText"/>
        <w:spacing w:line="369" w:lineRule="auto" w:before="136"/>
        <w:ind w:left="117" w:right="2763"/>
      </w:pPr>
      <w:r>
        <w:rPr/>
        <w:t>President of the People's Democratic Republic of Algeria Chairman of the Assembly</w:t>
      </w:r>
    </w:p>
    <w:sectPr>
      <w:pgSz w:w="12240" w:h="15840"/>
      <w:pgMar w:header="458" w:footer="670" w:top="1280" w:bottom="860" w:left="15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298.924988pt;margin-top:747.516541pt;width:16.55pt;height:12.5pt;mso-position-horizontal-relative:page;mso-position-vertical-relative:page;z-index:-15787520" type="#_x0000_t202" id="docshape2" filled="false" stroked="false">
          <v:textbox inset="0,0,0,0">
            <w:txbxContent>
              <w:p>
                <w:pPr>
                  <w:spacing w:before="11"/>
                  <w:ind w:left="60" w:right="0" w:firstLine="0"/>
                  <w:jc w:val="left"/>
                  <w:rPr>
                    <w:b/>
                    <w:sz w:val="19"/>
                  </w:rPr>
                </w:pPr>
                <w:r>
                  <w:rPr>
                    <w:b/>
                    <w:spacing w:val="-5"/>
                    <w:sz w:val="19"/>
                  </w:rPr>
                  <w:fldChar w:fldCharType="begin"/>
                </w:r>
                <w:r>
                  <w:rPr>
                    <w:b/>
                    <w:spacing w:val="-5"/>
                    <w:sz w:val="19"/>
                  </w:rPr>
                  <w:instrText> PAGE </w:instrText>
                </w:r>
                <w:r>
                  <w:rPr>
                    <w:b/>
                    <w:spacing w:val="-5"/>
                    <w:sz w:val="19"/>
                  </w:rPr>
                  <w:fldChar w:fldCharType="separate"/>
                </w:r>
                <w:r>
                  <w:rPr>
                    <w:b/>
                    <w:spacing w:val="-5"/>
                    <w:sz w:val="19"/>
                  </w:rPr>
                  <w:t>10</w:t>
                </w:r>
                <w:r>
                  <w:rPr>
                    <w:b/>
                    <w:spacing w:val="-5"/>
                    <w:sz w:val="19"/>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300.444580pt;margin-top:21.898262pt;width:232.5pt;height:19.6pt;mso-position-horizontal-relative:page;mso-position-vertical-relative:page;z-index:-15788032" type="#_x0000_t202" id="docshape1" filled="false" stroked="false">
          <v:textbox inset="0,0,0,0">
            <w:txbxContent>
              <w:p>
                <w:pPr>
                  <w:spacing w:line="170" w:lineRule="exact" w:before="31"/>
                  <w:ind w:left="0" w:right="18" w:firstLine="0"/>
                  <w:jc w:val="right"/>
                  <w:rPr>
                    <w:b/>
                    <w:sz w:val="15"/>
                  </w:rPr>
                </w:pPr>
                <w:r>
                  <w:rPr>
                    <w:b/>
                    <w:sz w:val="15"/>
                  </w:rPr>
                  <w:t>OAU</w:t>
                </w:r>
                <w:r>
                  <w:rPr>
                    <w:b/>
                    <w:spacing w:val="-3"/>
                    <w:sz w:val="15"/>
                  </w:rPr>
                  <w:t> </w:t>
                </w:r>
                <w:r>
                  <w:rPr>
                    <w:b/>
                    <w:sz w:val="15"/>
                  </w:rPr>
                  <w:t>35</w:t>
                </w:r>
                <w:r>
                  <w:rPr>
                    <w:b/>
                    <w:sz w:val="15"/>
                    <w:vertAlign w:val="superscript"/>
                  </w:rPr>
                  <w:t>TH</w:t>
                </w:r>
                <w:r>
                  <w:rPr>
                    <w:b/>
                    <w:spacing w:val="-5"/>
                    <w:sz w:val="15"/>
                    <w:vertAlign w:val="baseline"/>
                  </w:rPr>
                  <w:t> </w:t>
                </w:r>
                <w:r>
                  <w:rPr>
                    <w:b/>
                    <w:sz w:val="15"/>
                    <w:vertAlign w:val="baseline"/>
                  </w:rPr>
                  <w:t>ASSEMBLY</w:t>
                </w:r>
                <w:r>
                  <w:rPr>
                    <w:b/>
                    <w:spacing w:val="-4"/>
                    <w:sz w:val="15"/>
                    <w:vertAlign w:val="baseline"/>
                  </w:rPr>
                  <w:t> </w:t>
                </w:r>
                <w:r>
                  <w:rPr>
                    <w:b/>
                    <w:sz w:val="15"/>
                    <w:vertAlign w:val="baseline"/>
                  </w:rPr>
                  <w:t>OF</w:t>
                </w:r>
                <w:r>
                  <w:rPr>
                    <w:b/>
                    <w:spacing w:val="-4"/>
                    <w:sz w:val="15"/>
                    <w:vertAlign w:val="baseline"/>
                  </w:rPr>
                  <w:t> </w:t>
                </w:r>
                <w:r>
                  <w:rPr>
                    <w:b/>
                    <w:sz w:val="15"/>
                    <w:vertAlign w:val="baseline"/>
                  </w:rPr>
                  <w:t>HEADS</w:t>
                </w:r>
                <w:r>
                  <w:rPr>
                    <w:b/>
                    <w:spacing w:val="-4"/>
                    <w:sz w:val="15"/>
                    <w:vertAlign w:val="baseline"/>
                  </w:rPr>
                  <w:t> </w:t>
                </w:r>
                <w:r>
                  <w:rPr>
                    <w:b/>
                    <w:sz w:val="15"/>
                    <w:vertAlign w:val="baseline"/>
                  </w:rPr>
                  <w:t>OF</w:t>
                </w:r>
                <w:r>
                  <w:rPr>
                    <w:b/>
                    <w:spacing w:val="-4"/>
                    <w:sz w:val="15"/>
                    <w:vertAlign w:val="baseline"/>
                  </w:rPr>
                  <w:t> </w:t>
                </w:r>
                <w:r>
                  <w:rPr>
                    <w:b/>
                    <w:sz w:val="15"/>
                    <w:vertAlign w:val="baseline"/>
                  </w:rPr>
                  <w:t>STATE</w:t>
                </w:r>
                <w:r>
                  <w:rPr>
                    <w:b/>
                    <w:spacing w:val="-4"/>
                    <w:sz w:val="15"/>
                    <w:vertAlign w:val="baseline"/>
                  </w:rPr>
                  <w:t> </w:t>
                </w:r>
                <w:r>
                  <w:rPr>
                    <w:b/>
                    <w:sz w:val="15"/>
                    <w:vertAlign w:val="baseline"/>
                  </w:rPr>
                  <w:t>AND</w:t>
                </w:r>
                <w:r>
                  <w:rPr>
                    <w:b/>
                    <w:spacing w:val="-4"/>
                    <w:sz w:val="15"/>
                    <w:vertAlign w:val="baseline"/>
                  </w:rPr>
                  <w:t> </w:t>
                </w:r>
                <w:r>
                  <w:rPr>
                    <w:b/>
                    <w:spacing w:val="-2"/>
                    <w:sz w:val="15"/>
                    <w:vertAlign w:val="baseline"/>
                  </w:rPr>
                  <w:t>GOVERNMENT</w:t>
                </w:r>
              </w:p>
              <w:p>
                <w:pPr>
                  <w:spacing w:line="170" w:lineRule="exact" w:before="0"/>
                  <w:ind w:left="0" w:right="19" w:firstLine="0"/>
                  <w:jc w:val="right"/>
                  <w:rPr>
                    <w:b/>
                    <w:sz w:val="15"/>
                  </w:rPr>
                </w:pPr>
                <w:r>
                  <w:rPr>
                    <w:b/>
                    <w:sz w:val="15"/>
                  </w:rPr>
                  <w:t>ALGIERS,</w:t>
                </w:r>
                <w:r>
                  <w:rPr>
                    <w:b/>
                    <w:spacing w:val="-3"/>
                    <w:sz w:val="15"/>
                  </w:rPr>
                  <w:t> </w:t>
                </w:r>
                <w:r>
                  <w:rPr>
                    <w:b/>
                    <w:sz w:val="15"/>
                  </w:rPr>
                  <w:t>12-14</w:t>
                </w:r>
                <w:r>
                  <w:rPr>
                    <w:b/>
                    <w:spacing w:val="-4"/>
                    <w:sz w:val="15"/>
                  </w:rPr>
                  <w:t> </w:t>
                </w:r>
                <w:r>
                  <w:rPr>
                    <w:b/>
                    <w:sz w:val="15"/>
                  </w:rPr>
                  <w:t>JULY</w:t>
                </w:r>
                <w:r>
                  <w:rPr>
                    <w:b/>
                    <w:spacing w:val="-4"/>
                    <w:sz w:val="15"/>
                  </w:rPr>
                  <w:t> 1999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94"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1"/>
      <w:numFmt w:val="lowerLetter"/>
      <w:lvlText w:val="%2)"/>
      <w:lvlJc w:val="left"/>
      <w:pPr>
        <w:ind w:left="1173" w:hanging="380"/>
        <w:jc w:val="left"/>
      </w:pPr>
      <w:rPr>
        <w:rFonts w:hint="default" w:ascii="Times New Roman" w:hAnsi="Times New Roman" w:eastAsia="Times New Roman" w:cs="Times New Roman"/>
        <w:b/>
        <w:bCs/>
        <w:i w:val="0"/>
        <w:iCs w:val="0"/>
        <w:spacing w:val="0"/>
        <w:w w:val="102"/>
        <w:sz w:val="22"/>
        <w:szCs w:val="22"/>
        <w:lang w:val="en-US" w:eastAsia="en-US" w:bidi="ar-SA"/>
      </w:rPr>
    </w:lvl>
    <w:lvl w:ilvl="2">
      <w:start w:val="0"/>
      <w:numFmt w:val="bullet"/>
      <w:lvlText w:val="•"/>
      <w:lvlJc w:val="left"/>
      <w:pPr>
        <w:ind w:left="2066" w:hanging="380"/>
      </w:pPr>
      <w:rPr>
        <w:rFonts w:hint="default"/>
        <w:lang w:val="en-US" w:eastAsia="en-US" w:bidi="ar-SA"/>
      </w:rPr>
    </w:lvl>
    <w:lvl w:ilvl="3">
      <w:start w:val="0"/>
      <w:numFmt w:val="bullet"/>
      <w:lvlText w:val="•"/>
      <w:lvlJc w:val="left"/>
      <w:pPr>
        <w:ind w:left="2953" w:hanging="380"/>
      </w:pPr>
      <w:rPr>
        <w:rFonts w:hint="default"/>
        <w:lang w:val="en-US" w:eastAsia="en-US" w:bidi="ar-SA"/>
      </w:rPr>
    </w:lvl>
    <w:lvl w:ilvl="4">
      <w:start w:val="0"/>
      <w:numFmt w:val="bullet"/>
      <w:lvlText w:val="•"/>
      <w:lvlJc w:val="left"/>
      <w:pPr>
        <w:ind w:left="3840" w:hanging="380"/>
      </w:pPr>
      <w:rPr>
        <w:rFonts w:hint="default"/>
        <w:lang w:val="en-US" w:eastAsia="en-US" w:bidi="ar-SA"/>
      </w:rPr>
    </w:lvl>
    <w:lvl w:ilvl="5">
      <w:start w:val="0"/>
      <w:numFmt w:val="bullet"/>
      <w:lvlText w:val="•"/>
      <w:lvlJc w:val="left"/>
      <w:pPr>
        <w:ind w:left="4726" w:hanging="380"/>
      </w:pPr>
      <w:rPr>
        <w:rFonts w:hint="default"/>
        <w:lang w:val="en-US" w:eastAsia="en-US" w:bidi="ar-SA"/>
      </w:rPr>
    </w:lvl>
    <w:lvl w:ilvl="6">
      <w:start w:val="0"/>
      <w:numFmt w:val="bullet"/>
      <w:lvlText w:val="•"/>
      <w:lvlJc w:val="left"/>
      <w:pPr>
        <w:ind w:left="5613" w:hanging="380"/>
      </w:pPr>
      <w:rPr>
        <w:rFonts w:hint="default"/>
        <w:lang w:val="en-US" w:eastAsia="en-US" w:bidi="ar-SA"/>
      </w:rPr>
    </w:lvl>
    <w:lvl w:ilvl="7">
      <w:start w:val="0"/>
      <w:numFmt w:val="bullet"/>
      <w:lvlText w:val="•"/>
      <w:lvlJc w:val="left"/>
      <w:pPr>
        <w:ind w:left="6500" w:hanging="380"/>
      </w:pPr>
      <w:rPr>
        <w:rFonts w:hint="default"/>
        <w:lang w:val="en-US" w:eastAsia="en-US" w:bidi="ar-SA"/>
      </w:rPr>
    </w:lvl>
    <w:lvl w:ilvl="8">
      <w:start w:val="0"/>
      <w:numFmt w:val="bullet"/>
      <w:lvlText w:val="•"/>
      <w:lvlJc w:val="left"/>
      <w:pPr>
        <w:ind w:left="7386" w:hanging="38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Heading1" w:type="paragraph">
    <w:name w:val="Heading 1"/>
    <w:basedOn w:val="Normal"/>
    <w:uiPriority w:val="1"/>
    <w:qFormat/>
    <w:pPr>
      <w:ind w:left="794" w:hanging="678"/>
      <w:outlineLvl w:val="1"/>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73" w:hanging="38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DECISIONS ADOPTED BY THE THIRTY-FIFTH ASSEMBLY OF HEADS OF STATE AND GOVERNMENT</dc:title>
  <dcterms:created xsi:type="dcterms:W3CDTF">2023-04-07T13:31:50Z</dcterms:created>
  <dcterms:modified xsi:type="dcterms:W3CDTF">2023-04-07T13:31:50Z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2002-05-28T00:00:00Z</vt:filetime>
  </property>
  <property fmtid="{D5CDD505-2E9C-101B-9397-08002B2CF9AE}" pid="3" name="LastSaved">
    <vt:filetime>2023-04-07T00:00:00Z</vt:filetime>
  </property>
  <property fmtid="{D5CDD505-2E9C-101B-9397-08002B2CF9AE}" pid="4" name="Producer">
    <vt:lpwstr>Acrobat PDFWriter 3.02 for Windows NT</vt:lpwstr>
  </property>
</Properties>
</file>