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170" w:lineRule="exact" w:before="89"/>
        <w:ind w:left="0" w:right="99" w:firstLine="0"/>
        <w:jc w:val="right"/>
        <w:rPr>
          <w:b/>
          <w:sz w:val="15"/>
        </w:rPr>
      </w:pPr>
      <w:r>
        <w:rPr>
          <w:b/>
          <w:sz w:val="15"/>
        </w:rPr>
        <w:t>OAU</w:t>
      </w:r>
      <w:r>
        <w:rPr>
          <w:b/>
          <w:spacing w:val="-3"/>
          <w:sz w:val="15"/>
        </w:rPr>
        <w:t> </w:t>
      </w:r>
      <w:r>
        <w:rPr>
          <w:b/>
          <w:sz w:val="15"/>
        </w:rPr>
        <w:t>35</w:t>
      </w:r>
      <w:r>
        <w:rPr>
          <w:b/>
          <w:sz w:val="15"/>
          <w:vertAlign w:val="superscript"/>
        </w:rPr>
        <w:t>TH</w:t>
      </w:r>
      <w:r>
        <w:rPr>
          <w:b/>
          <w:spacing w:val="-5"/>
          <w:sz w:val="15"/>
          <w:vertAlign w:val="baseline"/>
        </w:rPr>
        <w:t> </w:t>
      </w:r>
      <w:r>
        <w:rPr>
          <w:b/>
          <w:sz w:val="15"/>
          <w:vertAlign w:val="baseline"/>
        </w:rPr>
        <w:t>ASSEMBLY</w:t>
      </w:r>
      <w:r>
        <w:rPr>
          <w:b/>
          <w:spacing w:val="-4"/>
          <w:sz w:val="15"/>
          <w:vertAlign w:val="baseline"/>
        </w:rPr>
        <w:t> </w:t>
      </w:r>
      <w:r>
        <w:rPr>
          <w:b/>
          <w:sz w:val="15"/>
          <w:vertAlign w:val="baseline"/>
        </w:rPr>
        <w:t>OF</w:t>
      </w:r>
      <w:r>
        <w:rPr>
          <w:b/>
          <w:spacing w:val="-4"/>
          <w:sz w:val="15"/>
          <w:vertAlign w:val="baseline"/>
        </w:rPr>
        <w:t> </w:t>
      </w:r>
      <w:r>
        <w:rPr>
          <w:b/>
          <w:sz w:val="15"/>
          <w:vertAlign w:val="baseline"/>
        </w:rPr>
        <w:t>HEADS</w:t>
      </w:r>
      <w:r>
        <w:rPr>
          <w:b/>
          <w:spacing w:val="-4"/>
          <w:sz w:val="15"/>
          <w:vertAlign w:val="baseline"/>
        </w:rPr>
        <w:t> </w:t>
      </w:r>
      <w:r>
        <w:rPr>
          <w:b/>
          <w:sz w:val="15"/>
          <w:vertAlign w:val="baseline"/>
        </w:rPr>
        <w:t>OF</w:t>
      </w:r>
      <w:r>
        <w:rPr>
          <w:b/>
          <w:spacing w:val="-4"/>
          <w:sz w:val="15"/>
          <w:vertAlign w:val="baseline"/>
        </w:rPr>
        <w:t> </w:t>
      </w:r>
      <w:r>
        <w:rPr>
          <w:b/>
          <w:sz w:val="15"/>
          <w:vertAlign w:val="baseline"/>
        </w:rPr>
        <w:t>STATE</w:t>
      </w:r>
      <w:r>
        <w:rPr>
          <w:b/>
          <w:spacing w:val="-4"/>
          <w:sz w:val="15"/>
          <w:vertAlign w:val="baseline"/>
        </w:rPr>
        <w:t> </w:t>
      </w:r>
      <w:r>
        <w:rPr>
          <w:b/>
          <w:sz w:val="15"/>
          <w:vertAlign w:val="baseline"/>
        </w:rPr>
        <w:t>AND</w:t>
      </w:r>
      <w:r>
        <w:rPr>
          <w:b/>
          <w:spacing w:val="-4"/>
          <w:sz w:val="15"/>
          <w:vertAlign w:val="baseline"/>
        </w:rPr>
        <w:t> </w:t>
      </w:r>
      <w:r>
        <w:rPr>
          <w:b/>
          <w:spacing w:val="-2"/>
          <w:sz w:val="15"/>
          <w:vertAlign w:val="baseline"/>
        </w:rPr>
        <w:t>GOVERNMENT</w:t>
      </w:r>
    </w:p>
    <w:p>
      <w:pPr>
        <w:spacing w:line="170" w:lineRule="exact" w:before="0"/>
        <w:ind w:left="0" w:right="103" w:firstLine="0"/>
        <w:jc w:val="right"/>
        <w:rPr>
          <w:b/>
          <w:sz w:val="15"/>
        </w:rPr>
      </w:pPr>
      <w:r>
        <w:rPr>
          <w:b/>
          <w:sz w:val="15"/>
        </w:rPr>
        <w:t>ALGIERS,</w:t>
      </w:r>
      <w:r>
        <w:rPr>
          <w:b/>
          <w:spacing w:val="-4"/>
          <w:sz w:val="15"/>
        </w:rPr>
        <w:t> </w:t>
      </w:r>
      <w:r>
        <w:rPr>
          <w:b/>
          <w:sz w:val="15"/>
        </w:rPr>
        <w:t>12-14</w:t>
      </w:r>
      <w:r>
        <w:rPr>
          <w:b/>
          <w:spacing w:val="-4"/>
          <w:sz w:val="15"/>
        </w:rPr>
        <w:t> </w:t>
      </w:r>
      <w:r>
        <w:rPr>
          <w:b/>
          <w:sz w:val="15"/>
        </w:rPr>
        <w:t>JULY</w:t>
      </w:r>
      <w:r>
        <w:rPr>
          <w:b/>
          <w:spacing w:val="-5"/>
          <w:sz w:val="15"/>
        </w:rPr>
        <w:t> </w:t>
      </w:r>
      <w:r>
        <w:rPr>
          <w:b/>
          <w:spacing w:val="-4"/>
          <w:sz w:val="15"/>
        </w:rPr>
        <w:t>1999</w:t>
      </w:r>
    </w:p>
    <w:p>
      <w:pPr>
        <w:pStyle w:val="BodyText"/>
        <w:rPr>
          <w:sz w:val="16"/>
        </w:rPr>
      </w:pPr>
    </w:p>
    <w:p>
      <w:pPr>
        <w:pStyle w:val="BodyText"/>
        <w:rPr>
          <w:sz w:val="16"/>
        </w:rPr>
      </w:pPr>
    </w:p>
    <w:p>
      <w:pPr>
        <w:pStyle w:val="BodyText"/>
        <w:spacing w:before="5"/>
        <w:rPr>
          <w:sz w:val="17"/>
        </w:rPr>
      </w:pPr>
    </w:p>
    <w:p>
      <w:pPr>
        <w:pStyle w:val="BodyText"/>
        <w:ind w:left="592"/>
      </w:pPr>
      <w:r>
        <w:rPr>
          <w:u w:val="single"/>
        </w:rPr>
        <w:t>DECISIONS</w:t>
      </w:r>
      <w:r>
        <w:rPr>
          <w:spacing w:val="12"/>
          <w:u w:val="single"/>
        </w:rPr>
        <w:t> </w:t>
      </w:r>
      <w:r>
        <w:rPr>
          <w:u w:val="single"/>
        </w:rPr>
        <w:t>OF</w:t>
      </w:r>
      <w:r>
        <w:rPr>
          <w:spacing w:val="12"/>
          <w:u w:val="single"/>
        </w:rPr>
        <w:t> </w:t>
      </w:r>
      <w:r>
        <w:rPr>
          <w:u w:val="single"/>
        </w:rPr>
        <w:t>THE</w:t>
      </w:r>
      <w:r>
        <w:rPr>
          <w:spacing w:val="12"/>
          <w:u w:val="single"/>
        </w:rPr>
        <w:t> </w:t>
      </w:r>
      <w:r>
        <w:rPr>
          <w:u w:val="single"/>
        </w:rPr>
        <w:t>ASSEMBLY</w:t>
      </w:r>
      <w:r>
        <w:rPr>
          <w:spacing w:val="12"/>
          <w:u w:val="single"/>
        </w:rPr>
        <w:t> </w:t>
      </w:r>
      <w:r>
        <w:rPr>
          <w:u w:val="single"/>
        </w:rPr>
        <w:t>OF</w:t>
      </w:r>
      <w:r>
        <w:rPr>
          <w:spacing w:val="12"/>
          <w:u w:val="single"/>
        </w:rPr>
        <w:t> </w:t>
      </w:r>
      <w:r>
        <w:rPr>
          <w:u w:val="single"/>
        </w:rPr>
        <w:t>HEADS</w:t>
      </w:r>
      <w:r>
        <w:rPr>
          <w:spacing w:val="10"/>
          <w:u w:val="single"/>
        </w:rPr>
        <w:t> </w:t>
      </w:r>
      <w:r>
        <w:rPr>
          <w:u w:val="single"/>
        </w:rPr>
        <w:t>OF</w:t>
      </w:r>
      <w:r>
        <w:rPr>
          <w:spacing w:val="10"/>
          <w:u w:val="single"/>
        </w:rPr>
        <w:t> </w:t>
      </w:r>
      <w:r>
        <w:rPr>
          <w:u w:val="single"/>
        </w:rPr>
        <w:t>STATE</w:t>
      </w:r>
      <w:r>
        <w:rPr>
          <w:spacing w:val="10"/>
          <w:u w:val="single"/>
        </w:rPr>
        <w:t> </w:t>
      </w:r>
      <w:r>
        <w:rPr>
          <w:u w:val="single"/>
        </w:rPr>
        <w:t>AND</w:t>
      </w:r>
      <w:r>
        <w:rPr>
          <w:spacing w:val="10"/>
          <w:u w:val="single"/>
        </w:rPr>
        <w:t> </w:t>
      </w:r>
      <w:r>
        <w:rPr>
          <w:spacing w:val="-2"/>
          <w:u w:val="single"/>
        </w:rPr>
        <w:t>GOVERNMENT</w:t>
      </w:r>
    </w:p>
    <w:p>
      <w:pPr>
        <w:pStyle w:val="BodyText"/>
        <w:rPr>
          <w:sz w:val="20"/>
        </w:rPr>
      </w:pPr>
    </w:p>
    <w:p>
      <w:pPr>
        <w:pStyle w:val="BodyText"/>
        <w:rPr>
          <w:sz w:val="20"/>
        </w:rPr>
      </w:pPr>
    </w:p>
    <w:p>
      <w:pPr>
        <w:pStyle w:val="BodyText"/>
        <w:rPr>
          <w:sz w:val="20"/>
        </w:rPr>
      </w:pPr>
    </w:p>
    <w:p>
      <w:pPr>
        <w:pStyle w:val="BodyText"/>
        <w:spacing w:before="5"/>
        <w:rPr>
          <w:sz w:val="19"/>
        </w:rPr>
      </w:pPr>
    </w:p>
    <w:p>
      <w:pPr>
        <w:tabs>
          <w:tab w:pos="2824" w:val="left" w:leader="none"/>
        </w:tabs>
        <w:spacing w:before="0"/>
        <w:ind w:left="117" w:right="0" w:firstLine="0"/>
        <w:jc w:val="left"/>
        <w:rPr>
          <w:b/>
          <w:sz w:val="22"/>
        </w:rPr>
      </w:pPr>
      <w:r>
        <w:rPr>
          <w:b/>
          <w:i/>
          <w:sz w:val="22"/>
        </w:rPr>
        <w:t>AHG/Dec.132</w:t>
      </w:r>
      <w:r>
        <w:rPr>
          <w:b/>
          <w:i/>
          <w:spacing w:val="21"/>
          <w:sz w:val="22"/>
        </w:rPr>
        <w:t> </w:t>
      </w:r>
      <w:r>
        <w:rPr>
          <w:b/>
          <w:i/>
          <w:spacing w:val="-2"/>
          <w:sz w:val="22"/>
        </w:rPr>
        <w:t>(XXXV)</w:t>
      </w:r>
      <w:r>
        <w:rPr>
          <w:b/>
          <w:i/>
          <w:sz w:val="22"/>
        </w:rPr>
        <w:tab/>
      </w:r>
      <w:r>
        <w:rPr>
          <w:b/>
          <w:sz w:val="22"/>
          <w:u w:val="single"/>
        </w:rPr>
        <w:t>Decision</w:t>
      </w:r>
      <w:r>
        <w:rPr>
          <w:b/>
          <w:spacing w:val="9"/>
          <w:sz w:val="22"/>
          <w:u w:val="single"/>
        </w:rPr>
        <w:t> </w:t>
      </w:r>
      <w:r>
        <w:rPr>
          <w:b/>
          <w:sz w:val="22"/>
          <w:u w:val="single"/>
        </w:rPr>
        <w:t>on</w:t>
      </w:r>
      <w:r>
        <w:rPr>
          <w:b/>
          <w:spacing w:val="10"/>
          <w:sz w:val="22"/>
          <w:u w:val="single"/>
        </w:rPr>
        <w:t> </w:t>
      </w:r>
      <w:r>
        <w:rPr>
          <w:b/>
          <w:sz w:val="22"/>
          <w:u w:val="single"/>
        </w:rPr>
        <w:t>the</w:t>
      </w:r>
      <w:r>
        <w:rPr>
          <w:b/>
          <w:spacing w:val="9"/>
          <w:sz w:val="22"/>
          <w:u w:val="single"/>
        </w:rPr>
        <w:t> </w:t>
      </w:r>
      <w:r>
        <w:rPr>
          <w:b/>
          <w:sz w:val="22"/>
          <w:u w:val="single"/>
        </w:rPr>
        <w:t>Report</w:t>
      </w:r>
      <w:r>
        <w:rPr>
          <w:b/>
          <w:spacing w:val="10"/>
          <w:sz w:val="22"/>
          <w:u w:val="single"/>
        </w:rPr>
        <w:t> </w:t>
      </w:r>
      <w:r>
        <w:rPr>
          <w:b/>
          <w:sz w:val="22"/>
          <w:u w:val="single"/>
        </w:rPr>
        <w:t>of</w:t>
      </w:r>
      <w:r>
        <w:rPr>
          <w:b/>
          <w:spacing w:val="9"/>
          <w:sz w:val="22"/>
          <w:u w:val="single"/>
        </w:rPr>
        <w:t> </w:t>
      </w:r>
      <w:r>
        <w:rPr>
          <w:b/>
          <w:sz w:val="22"/>
          <w:u w:val="single"/>
        </w:rPr>
        <w:t>the</w:t>
      </w:r>
      <w:r>
        <w:rPr>
          <w:b/>
          <w:spacing w:val="10"/>
          <w:sz w:val="22"/>
          <w:u w:val="single"/>
        </w:rPr>
        <w:t> </w:t>
      </w:r>
      <w:r>
        <w:rPr>
          <w:b/>
          <w:sz w:val="22"/>
          <w:u w:val="single"/>
        </w:rPr>
        <w:t>Secretary-General</w:t>
      </w:r>
      <w:r>
        <w:rPr>
          <w:b/>
          <w:spacing w:val="8"/>
          <w:sz w:val="22"/>
          <w:u w:val="single"/>
        </w:rPr>
        <w:t> </w:t>
      </w:r>
      <w:r>
        <w:rPr>
          <w:b/>
          <w:sz w:val="22"/>
          <w:u w:val="single"/>
        </w:rPr>
        <w:t>on</w:t>
      </w:r>
      <w:r>
        <w:rPr>
          <w:b/>
          <w:spacing w:val="9"/>
          <w:sz w:val="22"/>
          <w:u w:val="single"/>
        </w:rPr>
        <w:t> </w:t>
      </w:r>
      <w:r>
        <w:rPr>
          <w:b/>
          <w:spacing w:val="-5"/>
          <w:sz w:val="22"/>
          <w:u w:val="single"/>
        </w:rPr>
        <w:t>the</w:t>
      </w:r>
    </w:p>
    <w:p>
      <w:pPr>
        <w:pStyle w:val="BodyText"/>
        <w:spacing w:line="369" w:lineRule="auto" w:before="136"/>
        <w:ind w:left="2824" w:right="282"/>
      </w:pPr>
      <w:r>
        <w:rPr>
          <w:u w:val="single"/>
        </w:rPr>
        <w:t>Ministerial Conference on the OAU Convention on the</w:t>
      </w:r>
      <w:r>
        <w:rPr/>
        <w:t> </w:t>
      </w:r>
      <w:r>
        <w:rPr>
          <w:u w:val="single"/>
        </w:rPr>
        <w:t>Prevention and Combating of Terrorism</w:t>
      </w:r>
    </w:p>
    <w:p>
      <w:pPr>
        <w:pStyle w:val="BodyText"/>
        <w:spacing w:before="9"/>
        <w:rPr>
          <w:sz w:val="25"/>
        </w:rPr>
      </w:pPr>
    </w:p>
    <w:p>
      <w:pPr>
        <w:pStyle w:val="BodyText"/>
        <w:spacing w:before="96"/>
        <w:ind w:left="117"/>
      </w:pPr>
      <w:r>
        <w:rPr/>
        <w:t>The</w:t>
      </w:r>
      <w:r>
        <w:rPr>
          <w:spacing w:val="6"/>
        </w:rPr>
        <w:t> </w:t>
      </w:r>
      <w:r>
        <w:rPr>
          <w:spacing w:val="-2"/>
        </w:rPr>
        <w:t>Assembly:</w:t>
      </w:r>
    </w:p>
    <w:p>
      <w:pPr>
        <w:pStyle w:val="BodyText"/>
        <w:rPr>
          <w:sz w:val="24"/>
        </w:rPr>
      </w:pPr>
    </w:p>
    <w:p>
      <w:pPr>
        <w:pStyle w:val="BodyText"/>
        <w:spacing w:before="2"/>
        <w:rPr>
          <w:sz w:val="21"/>
        </w:rPr>
      </w:pPr>
    </w:p>
    <w:p>
      <w:pPr>
        <w:pStyle w:val="ListParagraph"/>
        <w:numPr>
          <w:ilvl w:val="0"/>
          <w:numId w:val="1"/>
        </w:numPr>
        <w:tabs>
          <w:tab w:pos="794" w:val="left" w:leader="none"/>
          <w:tab w:pos="795" w:val="left" w:leader="none"/>
        </w:tabs>
        <w:spacing w:line="369" w:lineRule="auto" w:before="0" w:after="0"/>
        <w:ind w:left="794" w:right="855" w:hanging="677"/>
        <w:jc w:val="left"/>
        <w:rPr>
          <w:b/>
          <w:sz w:val="22"/>
        </w:rPr>
      </w:pPr>
      <w:r>
        <w:rPr>
          <w:b/>
          <w:sz w:val="22"/>
        </w:rPr>
        <w:t>TAKES NOTE of the Decision of Council on the Draft OAU Convention on the Prevention and Combating of Terrorism;</w:t>
      </w:r>
    </w:p>
    <w:p>
      <w:pPr>
        <w:pStyle w:val="BodyText"/>
        <w:spacing w:before="1"/>
        <w:rPr>
          <w:sz w:val="34"/>
        </w:rPr>
      </w:pPr>
    </w:p>
    <w:p>
      <w:pPr>
        <w:pStyle w:val="ListParagraph"/>
        <w:numPr>
          <w:ilvl w:val="0"/>
          <w:numId w:val="1"/>
        </w:numPr>
        <w:tabs>
          <w:tab w:pos="794" w:val="left" w:leader="none"/>
          <w:tab w:pos="795" w:val="left" w:leader="none"/>
        </w:tabs>
        <w:spacing w:line="240" w:lineRule="auto" w:before="0" w:after="0"/>
        <w:ind w:left="794" w:right="0" w:hanging="678"/>
        <w:jc w:val="left"/>
        <w:rPr>
          <w:b/>
          <w:sz w:val="22"/>
        </w:rPr>
      </w:pPr>
      <w:r>
        <w:rPr>
          <w:b/>
          <w:sz w:val="22"/>
        </w:rPr>
        <w:t>ADOPTS</w:t>
      </w:r>
      <w:r>
        <w:rPr>
          <w:b/>
          <w:spacing w:val="8"/>
          <w:sz w:val="22"/>
        </w:rPr>
        <w:t> </w:t>
      </w:r>
      <w:r>
        <w:rPr>
          <w:b/>
          <w:sz w:val="22"/>
        </w:rPr>
        <w:t>the</w:t>
      </w:r>
      <w:r>
        <w:rPr>
          <w:b/>
          <w:spacing w:val="9"/>
          <w:sz w:val="22"/>
        </w:rPr>
        <w:t> </w:t>
      </w:r>
      <w:r>
        <w:rPr>
          <w:b/>
          <w:sz w:val="22"/>
        </w:rPr>
        <w:t>OAU</w:t>
      </w:r>
      <w:r>
        <w:rPr>
          <w:b/>
          <w:spacing w:val="8"/>
          <w:sz w:val="22"/>
        </w:rPr>
        <w:t> </w:t>
      </w:r>
      <w:r>
        <w:rPr>
          <w:b/>
          <w:sz w:val="22"/>
        </w:rPr>
        <w:t>Convention</w:t>
      </w:r>
      <w:r>
        <w:rPr>
          <w:b/>
          <w:spacing w:val="9"/>
          <w:sz w:val="22"/>
        </w:rPr>
        <w:t> </w:t>
      </w:r>
      <w:r>
        <w:rPr>
          <w:b/>
          <w:sz w:val="22"/>
        </w:rPr>
        <w:t>on</w:t>
      </w:r>
      <w:r>
        <w:rPr>
          <w:b/>
          <w:spacing w:val="8"/>
          <w:sz w:val="22"/>
        </w:rPr>
        <w:t> </w:t>
      </w:r>
      <w:r>
        <w:rPr>
          <w:b/>
          <w:sz w:val="22"/>
        </w:rPr>
        <w:t>the</w:t>
      </w:r>
      <w:r>
        <w:rPr>
          <w:b/>
          <w:spacing w:val="9"/>
          <w:sz w:val="22"/>
        </w:rPr>
        <w:t> </w:t>
      </w:r>
      <w:r>
        <w:rPr>
          <w:b/>
          <w:sz w:val="22"/>
        </w:rPr>
        <w:t>Prevention</w:t>
      </w:r>
      <w:r>
        <w:rPr>
          <w:b/>
          <w:spacing w:val="8"/>
          <w:sz w:val="22"/>
        </w:rPr>
        <w:t> </w:t>
      </w:r>
      <w:r>
        <w:rPr>
          <w:b/>
          <w:sz w:val="22"/>
        </w:rPr>
        <w:t>and</w:t>
      </w:r>
      <w:r>
        <w:rPr>
          <w:b/>
          <w:spacing w:val="9"/>
          <w:sz w:val="22"/>
        </w:rPr>
        <w:t> </w:t>
      </w:r>
      <w:r>
        <w:rPr>
          <w:b/>
          <w:sz w:val="22"/>
        </w:rPr>
        <w:t>Combating</w:t>
      </w:r>
      <w:r>
        <w:rPr>
          <w:b/>
          <w:spacing w:val="9"/>
          <w:sz w:val="22"/>
        </w:rPr>
        <w:t> </w:t>
      </w:r>
      <w:r>
        <w:rPr>
          <w:b/>
          <w:sz w:val="22"/>
        </w:rPr>
        <w:t>of</w:t>
      </w:r>
      <w:r>
        <w:rPr>
          <w:b/>
          <w:spacing w:val="10"/>
          <w:sz w:val="22"/>
        </w:rPr>
        <w:t> </w:t>
      </w:r>
      <w:r>
        <w:rPr>
          <w:b/>
          <w:spacing w:val="-2"/>
          <w:sz w:val="22"/>
        </w:rPr>
        <w:t>Terrorism;</w:t>
      </w:r>
    </w:p>
    <w:p>
      <w:pPr>
        <w:pStyle w:val="BodyText"/>
        <w:rPr>
          <w:sz w:val="24"/>
        </w:rPr>
      </w:pPr>
    </w:p>
    <w:p>
      <w:pPr>
        <w:pStyle w:val="BodyText"/>
        <w:spacing w:before="2"/>
        <w:rPr>
          <w:sz w:val="21"/>
        </w:rPr>
      </w:pPr>
    </w:p>
    <w:p>
      <w:pPr>
        <w:pStyle w:val="ListParagraph"/>
        <w:numPr>
          <w:ilvl w:val="0"/>
          <w:numId w:val="1"/>
        </w:numPr>
        <w:tabs>
          <w:tab w:pos="794" w:val="left" w:leader="none"/>
          <w:tab w:pos="795" w:val="left" w:leader="none"/>
        </w:tabs>
        <w:spacing w:line="374" w:lineRule="auto" w:before="1" w:after="0"/>
        <w:ind w:left="794" w:right="488" w:hanging="677"/>
        <w:jc w:val="left"/>
        <w:rPr>
          <w:b/>
          <w:sz w:val="22"/>
        </w:rPr>
      </w:pPr>
      <w:r>
        <w:rPr>
          <w:b/>
          <w:sz w:val="22"/>
        </w:rPr>
        <w:t>URGES Member States to sign, and subsequently ratify the Convention in order to ensure its speedy implementation;</w:t>
      </w:r>
    </w:p>
    <w:p>
      <w:pPr>
        <w:pStyle w:val="BodyText"/>
        <w:spacing w:before="2"/>
        <w:rPr>
          <w:sz w:val="33"/>
        </w:rPr>
      </w:pPr>
    </w:p>
    <w:p>
      <w:pPr>
        <w:pStyle w:val="ListParagraph"/>
        <w:numPr>
          <w:ilvl w:val="0"/>
          <w:numId w:val="1"/>
        </w:numPr>
        <w:tabs>
          <w:tab w:pos="794" w:val="left" w:leader="none"/>
          <w:tab w:pos="795" w:val="left" w:leader="none"/>
        </w:tabs>
        <w:spacing w:line="369" w:lineRule="auto" w:before="0" w:after="0"/>
        <w:ind w:left="794" w:right="140" w:hanging="677"/>
        <w:jc w:val="left"/>
        <w:rPr>
          <w:b/>
          <w:sz w:val="22"/>
        </w:rPr>
      </w:pPr>
      <w:r>
        <w:rPr>
          <w:b/>
          <w:sz w:val="22"/>
        </w:rPr>
        <w:t>ENDORSES the convening of an International Conference at Summit level under the auspices of the United Nations to elaborate on the international strategy needed to combat terrorism and identify the necessary international instruments required by the international community to eliminate the phenomenon of terrorism;</w:t>
      </w:r>
    </w:p>
    <w:p>
      <w:pPr>
        <w:pStyle w:val="BodyText"/>
        <w:spacing w:before="6"/>
        <w:rPr>
          <w:sz w:val="33"/>
        </w:rPr>
      </w:pPr>
    </w:p>
    <w:p>
      <w:pPr>
        <w:pStyle w:val="ListParagraph"/>
        <w:numPr>
          <w:ilvl w:val="0"/>
          <w:numId w:val="1"/>
        </w:numPr>
        <w:tabs>
          <w:tab w:pos="794" w:val="left" w:leader="none"/>
          <w:tab w:pos="795" w:val="left" w:leader="none"/>
        </w:tabs>
        <w:spacing w:line="369" w:lineRule="auto" w:before="0" w:after="0"/>
        <w:ind w:left="794" w:right="127" w:hanging="677"/>
        <w:jc w:val="left"/>
        <w:rPr>
          <w:b/>
          <w:sz w:val="22"/>
        </w:rPr>
      </w:pPr>
      <w:r>
        <w:rPr>
          <w:b/>
          <w:sz w:val="22"/>
        </w:rPr>
        <w:t>EXPRESSES SATISFACTION at the considerable progress so quickly made by the Government and People of Algeria in the restoration of peace and stability and HAILS the courageous initiative of H.E. President Abdelaziz BOUTEFLIKA to give concrete expression to these objectives and usher in permanent civil peace and harmony in </w:t>
      </w:r>
      <w:r>
        <w:rPr>
          <w:b/>
          <w:spacing w:val="-2"/>
          <w:sz w:val="22"/>
        </w:rPr>
        <w:t>Algeria.</w:t>
      </w:r>
    </w:p>
    <w:sectPr>
      <w:type w:val="continuous"/>
      <w:pgSz w:w="12240" w:h="15840"/>
      <w:pgMar w:top="380" w:bottom="280" w:left="1500" w:right="1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94" w:hanging="677"/>
        <w:jc w:val="left"/>
      </w:pPr>
      <w:rPr>
        <w:rFonts w:hint="default" w:ascii="Times New Roman" w:hAnsi="Times New Roman" w:eastAsia="Times New Roman" w:cs="Times New Roman"/>
        <w:b/>
        <w:bCs/>
        <w:i w:val="0"/>
        <w:iCs w:val="0"/>
        <w:spacing w:val="0"/>
        <w:w w:val="102"/>
        <w:sz w:val="22"/>
        <w:szCs w:val="22"/>
        <w:lang w:val="en-US" w:eastAsia="en-US" w:bidi="ar-SA"/>
      </w:rPr>
    </w:lvl>
    <w:lvl w:ilvl="1">
      <w:start w:val="0"/>
      <w:numFmt w:val="bullet"/>
      <w:lvlText w:val="•"/>
      <w:lvlJc w:val="left"/>
      <w:pPr>
        <w:ind w:left="1644" w:hanging="677"/>
      </w:pPr>
      <w:rPr>
        <w:rFonts w:hint="default"/>
        <w:lang w:val="en-US" w:eastAsia="en-US" w:bidi="ar-SA"/>
      </w:rPr>
    </w:lvl>
    <w:lvl w:ilvl="2">
      <w:start w:val="0"/>
      <w:numFmt w:val="bullet"/>
      <w:lvlText w:val="•"/>
      <w:lvlJc w:val="left"/>
      <w:pPr>
        <w:ind w:left="2488" w:hanging="677"/>
      </w:pPr>
      <w:rPr>
        <w:rFonts w:hint="default"/>
        <w:lang w:val="en-US" w:eastAsia="en-US" w:bidi="ar-SA"/>
      </w:rPr>
    </w:lvl>
    <w:lvl w:ilvl="3">
      <w:start w:val="0"/>
      <w:numFmt w:val="bullet"/>
      <w:lvlText w:val="•"/>
      <w:lvlJc w:val="left"/>
      <w:pPr>
        <w:ind w:left="3332" w:hanging="677"/>
      </w:pPr>
      <w:rPr>
        <w:rFonts w:hint="default"/>
        <w:lang w:val="en-US" w:eastAsia="en-US" w:bidi="ar-SA"/>
      </w:rPr>
    </w:lvl>
    <w:lvl w:ilvl="4">
      <w:start w:val="0"/>
      <w:numFmt w:val="bullet"/>
      <w:lvlText w:val="•"/>
      <w:lvlJc w:val="left"/>
      <w:pPr>
        <w:ind w:left="4176" w:hanging="677"/>
      </w:pPr>
      <w:rPr>
        <w:rFonts w:hint="default"/>
        <w:lang w:val="en-US" w:eastAsia="en-US" w:bidi="ar-SA"/>
      </w:rPr>
    </w:lvl>
    <w:lvl w:ilvl="5">
      <w:start w:val="0"/>
      <w:numFmt w:val="bullet"/>
      <w:lvlText w:val="•"/>
      <w:lvlJc w:val="left"/>
      <w:pPr>
        <w:ind w:left="5020" w:hanging="677"/>
      </w:pPr>
      <w:rPr>
        <w:rFonts w:hint="default"/>
        <w:lang w:val="en-US" w:eastAsia="en-US" w:bidi="ar-SA"/>
      </w:rPr>
    </w:lvl>
    <w:lvl w:ilvl="6">
      <w:start w:val="0"/>
      <w:numFmt w:val="bullet"/>
      <w:lvlText w:val="•"/>
      <w:lvlJc w:val="left"/>
      <w:pPr>
        <w:ind w:left="5864" w:hanging="677"/>
      </w:pPr>
      <w:rPr>
        <w:rFonts w:hint="default"/>
        <w:lang w:val="en-US" w:eastAsia="en-US" w:bidi="ar-SA"/>
      </w:rPr>
    </w:lvl>
    <w:lvl w:ilvl="7">
      <w:start w:val="0"/>
      <w:numFmt w:val="bullet"/>
      <w:lvlText w:val="•"/>
      <w:lvlJc w:val="left"/>
      <w:pPr>
        <w:ind w:left="6708" w:hanging="677"/>
      </w:pPr>
      <w:rPr>
        <w:rFonts w:hint="default"/>
        <w:lang w:val="en-US" w:eastAsia="en-US" w:bidi="ar-SA"/>
      </w:rPr>
    </w:lvl>
    <w:lvl w:ilvl="8">
      <w:start w:val="0"/>
      <w:numFmt w:val="bullet"/>
      <w:lvlText w:val="•"/>
      <w:lvlJc w:val="left"/>
      <w:pPr>
        <w:ind w:left="7552" w:hanging="67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794" w:hanging="677"/>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DECLARATIONS AND DECISIONS ADOPTED BY THE THIRTY-FIFTH ASSEMBLY OF HEADS OF STATE AND GOVERNMENT</dc:title>
  <dcterms:created xsi:type="dcterms:W3CDTF">2023-04-06T13:53:56Z</dcterms:created>
  <dcterms:modified xsi:type="dcterms:W3CDTF">2023-04-06T13:53:56Z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2022-11-15T00:00:00Z</vt:filetime>
  </property>
  <property fmtid="{D5CDD505-2E9C-101B-9397-08002B2CF9AE}" pid="3" name="LastSaved">
    <vt:filetime>2023-04-06T00:00:00Z</vt:filetime>
  </property>
  <property fmtid="{D5CDD505-2E9C-101B-9397-08002B2CF9AE}" pid="4" name="Producer">
    <vt:lpwstr>Acrobat PDFWriter 3.02 for Windows NT</vt:lpwstr>
  </property>
</Properties>
</file>