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w:t>
      </w:r>
      <w:r>
        <w:rPr>
          <w:b/>
          <w:i/>
          <w:spacing w:val="-1"/>
          <w:sz w:val="24"/>
        </w:rPr>
        <w:t> </w:t>
      </w:r>
      <w:r>
        <w:rPr>
          <w:b/>
          <w:i/>
          <w:sz w:val="24"/>
        </w:rPr>
        <w:t>148</w:t>
      </w:r>
      <w:r>
        <w:rPr>
          <w:b/>
          <w:i/>
          <w:spacing w:val="-2"/>
          <w:sz w:val="24"/>
        </w:rPr>
        <w:t> (XXXVI)</w:t>
      </w:r>
    </w:p>
    <w:p>
      <w:pPr>
        <w:pStyle w:val="BodyText"/>
        <w:spacing w:before="6"/>
        <w:ind w:left="0"/>
        <w:jc w:val="left"/>
        <w:rPr>
          <w:i/>
          <w:sz w:val="14"/>
        </w:rPr>
      </w:pPr>
    </w:p>
    <w:p>
      <w:pPr>
        <w:pStyle w:val="BodyText"/>
        <w:spacing w:before="90"/>
        <w:ind w:left="3069" w:right="3051"/>
        <w:jc w:val="center"/>
      </w:pPr>
      <w:r>
        <w:rPr>
          <w:u w:val="single"/>
        </w:rPr>
        <w:t>DECISION</w:t>
      </w:r>
      <w:r>
        <w:rPr>
          <w:spacing w:val="-5"/>
          <w:u w:val="single"/>
        </w:rPr>
        <w:t> </w:t>
      </w:r>
      <w:r>
        <w:rPr>
          <w:u w:val="single"/>
        </w:rPr>
        <w:t>ON</w:t>
      </w:r>
      <w:r>
        <w:rPr>
          <w:spacing w:val="-4"/>
          <w:u w:val="single"/>
        </w:rPr>
        <w:t> </w:t>
      </w:r>
      <w:r>
        <w:rPr>
          <w:spacing w:val="-2"/>
          <w:u w:val="single"/>
        </w:rPr>
        <w:t>ANGOLA</w:t>
      </w:r>
    </w:p>
    <w:p>
      <w:pPr>
        <w:pStyle w:val="BodyText"/>
        <w:ind w:left="0"/>
        <w:jc w:val="left"/>
        <w:rPr>
          <w:sz w:val="20"/>
        </w:rPr>
      </w:pPr>
    </w:p>
    <w:p>
      <w:pPr>
        <w:pStyle w:val="BodyText"/>
        <w:ind w:left="0"/>
        <w:jc w:val="left"/>
        <w:rPr>
          <w:sz w:val="20"/>
        </w:rPr>
      </w:pPr>
    </w:p>
    <w:p>
      <w:pPr>
        <w:pStyle w:val="BodyText"/>
        <w:spacing w:before="209"/>
        <w:jc w:val="left"/>
      </w:pPr>
      <w:r>
        <w:rPr/>
        <w:t>The</w:t>
      </w:r>
      <w:r>
        <w:rPr>
          <w:spacing w:val="-3"/>
        </w:rPr>
        <w:t> </w:t>
      </w:r>
      <w:r>
        <w:rPr>
          <w:spacing w:val="-2"/>
        </w:rPr>
        <w:t>Assembly:</w:t>
      </w:r>
    </w:p>
    <w:p>
      <w:pPr>
        <w:pStyle w:val="ListParagraph"/>
        <w:numPr>
          <w:ilvl w:val="0"/>
          <w:numId w:val="1"/>
        </w:numPr>
        <w:tabs>
          <w:tab w:pos="391" w:val="left" w:leader="none"/>
        </w:tabs>
        <w:spacing w:line="355" w:lineRule="auto" w:before="204" w:after="0"/>
        <w:ind w:left="120" w:right="103" w:firstLine="0"/>
        <w:jc w:val="both"/>
        <w:rPr>
          <w:b/>
          <w:sz w:val="24"/>
        </w:rPr>
      </w:pPr>
      <w:r>
        <w:rPr>
          <w:b/>
          <w:sz w:val="24"/>
        </w:rPr>
        <w:t>EXPRESSES ITS CONCERN at the fact that the UN sanctions against UNITA are not implemented effectively;</w:t>
      </w:r>
    </w:p>
    <w:p>
      <w:pPr>
        <w:pStyle w:val="ListParagraph"/>
        <w:numPr>
          <w:ilvl w:val="0"/>
          <w:numId w:val="1"/>
        </w:numPr>
        <w:tabs>
          <w:tab w:pos="448" w:val="left" w:leader="none"/>
        </w:tabs>
        <w:spacing w:line="355" w:lineRule="auto" w:before="71" w:after="0"/>
        <w:ind w:left="120" w:right="109" w:firstLine="0"/>
        <w:jc w:val="both"/>
        <w:rPr>
          <w:b/>
          <w:sz w:val="24"/>
        </w:rPr>
      </w:pPr>
      <w:r>
        <w:rPr>
          <w:b/>
          <w:sz w:val="24"/>
        </w:rPr>
        <w:t>WELCOMES the recent measures taken by some Member States towards ensuring the implementation of the UN sanctions against UNITA;</w:t>
      </w:r>
    </w:p>
    <w:p>
      <w:pPr>
        <w:pStyle w:val="ListParagraph"/>
        <w:numPr>
          <w:ilvl w:val="0"/>
          <w:numId w:val="1"/>
        </w:numPr>
        <w:tabs>
          <w:tab w:pos="380" w:val="left" w:leader="none"/>
        </w:tabs>
        <w:spacing w:line="355" w:lineRule="auto" w:before="72" w:after="0"/>
        <w:ind w:left="120" w:right="114" w:firstLine="0"/>
        <w:jc w:val="both"/>
        <w:rPr>
          <w:b/>
          <w:sz w:val="24"/>
        </w:rPr>
      </w:pPr>
      <w:r>
        <w:rPr>
          <w:b/>
          <w:sz w:val="24"/>
        </w:rPr>
        <w:t>REAFFIRMS its strong support for all the Resolutions and efforts of the United Nations Security Council on Angola;</w:t>
      </w:r>
    </w:p>
    <w:p>
      <w:pPr>
        <w:pStyle w:val="ListParagraph"/>
        <w:numPr>
          <w:ilvl w:val="0"/>
          <w:numId w:val="1"/>
        </w:numPr>
        <w:tabs>
          <w:tab w:pos="379" w:val="left" w:leader="none"/>
        </w:tabs>
        <w:spacing w:line="357" w:lineRule="auto" w:before="71" w:after="0"/>
        <w:ind w:left="120" w:right="103" w:firstLine="0"/>
        <w:jc w:val="both"/>
        <w:rPr>
          <w:b/>
          <w:sz w:val="24"/>
        </w:rPr>
      </w:pPr>
      <w:r>
        <w:rPr>
          <w:b/>
          <w:sz w:val="24"/>
        </w:rPr>
        <w:t>REQUESTS all Member States to scrupulously comply with all the provisions of UN</w:t>
      </w:r>
      <w:r>
        <w:rPr>
          <w:b/>
          <w:spacing w:val="-2"/>
          <w:sz w:val="24"/>
        </w:rPr>
        <w:t> </w:t>
      </w:r>
      <w:r>
        <w:rPr>
          <w:b/>
          <w:sz w:val="24"/>
        </w:rPr>
        <w:t>Security</w:t>
      </w:r>
      <w:r>
        <w:rPr>
          <w:b/>
          <w:spacing w:val="-2"/>
          <w:sz w:val="24"/>
        </w:rPr>
        <w:t> </w:t>
      </w:r>
      <w:r>
        <w:rPr>
          <w:b/>
          <w:sz w:val="24"/>
        </w:rPr>
        <w:t>Council</w:t>
      </w:r>
      <w:r>
        <w:rPr>
          <w:b/>
          <w:spacing w:val="-2"/>
          <w:sz w:val="24"/>
        </w:rPr>
        <w:t> </w:t>
      </w:r>
      <w:r>
        <w:rPr>
          <w:b/>
          <w:sz w:val="24"/>
        </w:rPr>
        <w:t>Resolutions</w:t>
      </w:r>
      <w:r>
        <w:rPr>
          <w:b/>
          <w:spacing w:val="-2"/>
          <w:sz w:val="24"/>
        </w:rPr>
        <w:t> </w:t>
      </w:r>
      <w:r>
        <w:rPr>
          <w:b/>
          <w:sz w:val="24"/>
        </w:rPr>
        <w:t>and</w:t>
      </w:r>
      <w:r>
        <w:rPr>
          <w:b/>
          <w:spacing w:val="-1"/>
          <w:sz w:val="24"/>
        </w:rPr>
        <w:t> </w:t>
      </w:r>
      <w:r>
        <w:rPr>
          <w:b/>
          <w:sz w:val="24"/>
        </w:rPr>
        <w:t>in</w:t>
      </w:r>
      <w:r>
        <w:rPr>
          <w:b/>
          <w:spacing w:val="-1"/>
          <w:sz w:val="24"/>
        </w:rPr>
        <w:t> </w:t>
      </w:r>
      <w:r>
        <w:rPr>
          <w:b/>
          <w:sz w:val="24"/>
        </w:rPr>
        <w:t>this</w:t>
      </w:r>
      <w:r>
        <w:rPr>
          <w:b/>
          <w:spacing w:val="-2"/>
          <w:sz w:val="24"/>
        </w:rPr>
        <w:t> </w:t>
      </w:r>
      <w:r>
        <w:rPr>
          <w:b/>
          <w:sz w:val="24"/>
        </w:rPr>
        <w:t>regard, to</w:t>
      </w:r>
      <w:r>
        <w:rPr>
          <w:b/>
          <w:spacing w:val="-2"/>
          <w:sz w:val="24"/>
        </w:rPr>
        <w:t> </w:t>
      </w:r>
      <w:r>
        <w:rPr>
          <w:b/>
          <w:sz w:val="24"/>
        </w:rPr>
        <w:t>fully</w:t>
      </w:r>
      <w:r>
        <w:rPr>
          <w:b/>
          <w:spacing w:val="-2"/>
          <w:sz w:val="24"/>
        </w:rPr>
        <w:t> </w:t>
      </w:r>
      <w:r>
        <w:rPr>
          <w:b/>
          <w:sz w:val="24"/>
        </w:rPr>
        <w:t>co-operate</w:t>
      </w:r>
      <w:r>
        <w:rPr>
          <w:b/>
          <w:spacing w:val="-2"/>
          <w:sz w:val="24"/>
        </w:rPr>
        <w:t> </w:t>
      </w:r>
      <w:r>
        <w:rPr>
          <w:b/>
          <w:sz w:val="24"/>
        </w:rPr>
        <w:t>with</w:t>
      </w:r>
      <w:r>
        <w:rPr>
          <w:b/>
          <w:spacing w:val="-1"/>
          <w:sz w:val="24"/>
        </w:rPr>
        <w:t> </w:t>
      </w:r>
      <w:r>
        <w:rPr>
          <w:b/>
          <w:sz w:val="24"/>
        </w:rPr>
        <w:t>the</w:t>
      </w:r>
      <w:r>
        <w:rPr>
          <w:b/>
          <w:spacing w:val="-2"/>
          <w:sz w:val="24"/>
        </w:rPr>
        <w:t> </w:t>
      </w:r>
      <w:r>
        <w:rPr>
          <w:b/>
          <w:sz w:val="24"/>
        </w:rPr>
        <w:t>UN, to ensure their effective implementation;</w:t>
      </w:r>
    </w:p>
    <w:p>
      <w:pPr>
        <w:pStyle w:val="ListParagraph"/>
        <w:numPr>
          <w:ilvl w:val="0"/>
          <w:numId w:val="1"/>
        </w:numPr>
        <w:tabs>
          <w:tab w:pos="390" w:val="left" w:leader="none"/>
        </w:tabs>
        <w:spacing w:line="360" w:lineRule="auto" w:before="67" w:after="0"/>
        <w:ind w:left="119" w:right="109" w:firstLine="0"/>
        <w:jc w:val="both"/>
        <w:rPr>
          <w:b/>
          <w:sz w:val="24"/>
        </w:rPr>
      </w:pPr>
      <w:r>
        <w:rPr>
          <w:b/>
          <w:sz w:val="24"/>
        </w:rPr>
        <w:t>CONDEMNS UNITA for continuing to wage war against the people of Angola, which war has been responsible for the humanitarian tragedy in that country and EXPRESSES its solidarity with the Government and People of Angola;</w:t>
      </w:r>
    </w:p>
    <w:p>
      <w:pPr>
        <w:pStyle w:val="ListParagraph"/>
        <w:numPr>
          <w:ilvl w:val="0"/>
          <w:numId w:val="1"/>
        </w:numPr>
        <w:tabs>
          <w:tab w:pos="370" w:val="left" w:leader="none"/>
        </w:tabs>
        <w:spacing w:line="360" w:lineRule="auto" w:before="59" w:after="0"/>
        <w:ind w:left="119" w:right="109" w:firstLine="0"/>
        <w:jc w:val="both"/>
        <w:rPr>
          <w:b/>
          <w:sz w:val="24"/>
        </w:rPr>
      </w:pPr>
      <w:r>
        <w:rPr>
          <w:b/>
          <w:sz w:val="24"/>
        </w:rPr>
        <w:t>APPEALS to Member States in a position to do so and to the wider International Community</w:t>
      </w:r>
      <w:r>
        <w:rPr>
          <w:b/>
          <w:spacing w:val="-4"/>
          <w:sz w:val="24"/>
        </w:rPr>
        <w:t> </w:t>
      </w:r>
      <w:r>
        <w:rPr>
          <w:b/>
          <w:sz w:val="24"/>
        </w:rPr>
        <w:t>to</w:t>
      </w:r>
      <w:r>
        <w:rPr>
          <w:b/>
          <w:spacing w:val="-5"/>
          <w:sz w:val="24"/>
        </w:rPr>
        <w:t> </w:t>
      </w:r>
      <w:r>
        <w:rPr>
          <w:b/>
          <w:sz w:val="24"/>
        </w:rPr>
        <w:t>extend</w:t>
      </w:r>
      <w:r>
        <w:rPr>
          <w:b/>
          <w:spacing w:val="-4"/>
          <w:sz w:val="24"/>
        </w:rPr>
        <w:t> </w:t>
      </w:r>
      <w:r>
        <w:rPr>
          <w:b/>
          <w:sz w:val="24"/>
        </w:rPr>
        <w:t>maximum</w:t>
      </w:r>
      <w:r>
        <w:rPr>
          <w:b/>
          <w:spacing w:val="-5"/>
          <w:sz w:val="24"/>
        </w:rPr>
        <w:t> </w:t>
      </w:r>
      <w:r>
        <w:rPr>
          <w:b/>
          <w:sz w:val="24"/>
        </w:rPr>
        <w:t>assistance</w:t>
      </w:r>
      <w:r>
        <w:rPr>
          <w:b/>
          <w:spacing w:val="-4"/>
          <w:sz w:val="24"/>
        </w:rPr>
        <w:t> </w:t>
      </w:r>
      <w:r>
        <w:rPr>
          <w:b/>
          <w:sz w:val="24"/>
        </w:rPr>
        <w:t>to</w:t>
      </w:r>
      <w:r>
        <w:rPr>
          <w:b/>
          <w:spacing w:val="-4"/>
          <w:sz w:val="24"/>
        </w:rPr>
        <w:t> </w:t>
      </w:r>
      <w:r>
        <w:rPr>
          <w:b/>
          <w:sz w:val="24"/>
        </w:rPr>
        <w:t>the</w:t>
      </w:r>
      <w:r>
        <w:rPr>
          <w:b/>
          <w:spacing w:val="-4"/>
          <w:sz w:val="24"/>
        </w:rPr>
        <w:t> </w:t>
      </w:r>
      <w:r>
        <w:rPr>
          <w:b/>
          <w:sz w:val="24"/>
        </w:rPr>
        <w:t>Government</w:t>
      </w:r>
      <w:r>
        <w:rPr>
          <w:b/>
          <w:spacing w:val="-4"/>
          <w:sz w:val="24"/>
        </w:rPr>
        <w:t> </w:t>
      </w:r>
      <w:r>
        <w:rPr>
          <w:b/>
          <w:sz w:val="24"/>
        </w:rPr>
        <w:t>of</w:t>
      </w:r>
      <w:r>
        <w:rPr>
          <w:b/>
          <w:spacing w:val="-5"/>
          <w:sz w:val="24"/>
        </w:rPr>
        <w:t> </w:t>
      </w:r>
      <w:r>
        <w:rPr>
          <w:b/>
          <w:sz w:val="24"/>
        </w:rPr>
        <w:t>Angola</w:t>
      </w:r>
      <w:r>
        <w:rPr>
          <w:b/>
          <w:spacing w:val="-4"/>
          <w:sz w:val="24"/>
        </w:rPr>
        <w:t> </w:t>
      </w:r>
      <w:r>
        <w:rPr>
          <w:b/>
          <w:sz w:val="24"/>
        </w:rPr>
        <w:t>to</w:t>
      </w:r>
      <w:r>
        <w:rPr>
          <w:b/>
          <w:spacing w:val="-5"/>
          <w:sz w:val="24"/>
        </w:rPr>
        <w:t> </w:t>
      </w:r>
      <w:r>
        <w:rPr>
          <w:b/>
          <w:sz w:val="24"/>
        </w:rPr>
        <w:t>enable</w:t>
      </w:r>
      <w:r>
        <w:rPr>
          <w:b/>
          <w:spacing w:val="-4"/>
          <w:sz w:val="24"/>
        </w:rPr>
        <w:t> </w:t>
      </w:r>
      <w:r>
        <w:rPr>
          <w:b/>
          <w:sz w:val="24"/>
        </w:rPr>
        <w:t>it address the humanitarian and socio-economic problems that have resulted from the conflict in that country.</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71"/>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71"/>
      </w:pPr>
      <w:rPr>
        <w:rFonts w:hint="default"/>
        <w:lang w:val="en-US" w:eastAsia="en-US" w:bidi="ar-SA"/>
      </w:rPr>
    </w:lvl>
    <w:lvl w:ilvl="2">
      <w:start w:val="0"/>
      <w:numFmt w:val="bullet"/>
      <w:lvlText w:val="•"/>
      <w:lvlJc w:val="left"/>
      <w:pPr>
        <w:ind w:left="1868" w:hanging="271"/>
      </w:pPr>
      <w:rPr>
        <w:rFonts w:hint="default"/>
        <w:lang w:val="en-US" w:eastAsia="en-US" w:bidi="ar-SA"/>
      </w:rPr>
    </w:lvl>
    <w:lvl w:ilvl="3">
      <w:start w:val="0"/>
      <w:numFmt w:val="bullet"/>
      <w:lvlText w:val="•"/>
      <w:lvlJc w:val="left"/>
      <w:pPr>
        <w:ind w:left="2742" w:hanging="271"/>
      </w:pPr>
      <w:rPr>
        <w:rFonts w:hint="default"/>
        <w:lang w:val="en-US" w:eastAsia="en-US" w:bidi="ar-SA"/>
      </w:rPr>
    </w:lvl>
    <w:lvl w:ilvl="4">
      <w:start w:val="0"/>
      <w:numFmt w:val="bullet"/>
      <w:lvlText w:val="•"/>
      <w:lvlJc w:val="left"/>
      <w:pPr>
        <w:ind w:left="3616" w:hanging="271"/>
      </w:pPr>
      <w:rPr>
        <w:rFonts w:hint="default"/>
        <w:lang w:val="en-US" w:eastAsia="en-US" w:bidi="ar-SA"/>
      </w:rPr>
    </w:lvl>
    <w:lvl w:ilvl="5">
      <w:start w:val="0"/>
      <w:numFmt w:val="bullet"/>
      <w:lvlText w:val="•"/>
      <w:lvlJc w:val="left"/>
      <w:pPr>
        <w:ind w:left="4490" w:hanging="271"/>
      </w:pPr>
      <w:rPr>
        <w:rFonts w:hint="default"/>
        <w:lang w:val="en-US" w:eastAsia="en-US" w:bidi="ar-SA"/>
      </w:rPr>
    </w:lvl>
    <w:lvl w:ilvl="6">
      <w:start w:val="0"/>
      <w:numFmt w:val="bullet"/>
      <w:lvlText w:val="•"/>
      <w:lvlJc w:val="left"/>
      <w:pPr>
        <w:ind w:left="5364" w:hanging="271"/>
      </w:pPr>
      <w:rPr>
        <w:rFonts w:hint="default"/>
        <w:lang w:val="en-US" w:eastAsia="en-US" w:bidi="ar-SA"/>
      </w:rPr>
    </w:lvl>
    <w:lvl w:ilvl="7">
      <w:start w:val="0"/>
      <w:numFmt w:val="bullet"/>
      <w:lvlText w:val="•"/>
      <w:lvlJc w:val="left"/>
      <w:pPr>
        <w:ind w:left="6238" w:hanging="271"/>
      </w:pPr>
      <w:rPr>
        <w:rFonts w:hint="default"/>
        <w:lang w:val="en-US" w:eastAsia="en-US" w:bidi="ar-SA"/>
      </w:rPr>
    </w:lvl>
    <w:lvl w:ilvl="8">
      <w:start w:val="0"/>
      <w:numFmt w:val="bullet"/>
      <w:lvlText w:val="•"/>
      <w:lvlJc w:val="left"/>
      <w:pPr>
        <w:ind w:left="7112" w:hanging="27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71"/>
      <w:ind w:left="120" w:right="10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2023-04-01T19:51:52Z</dcterms:created>
  <dcterms:modified xsi:type="dcterms:W3CDTF">2023-04-01T19:51:52Z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