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20" w:right="0" w:firstLine="0"/>
        <w:jc w:val="left"/>
        <w:rPr>
          <w:b/>
          <w:i/>
          <w:sz w:val="24"/>
        </w:rPr>
      </w:pPr>
      <w:r>
        <w:rPr>
          <w:b/>
          <w:i/>
          <w:sz w:val="24"/>
        </w:rPr>
        <w:t>AHG/Dec.149</w:t>
      </w:r>
      <w:r>
        <w:rPr>
          <w:b/>
          <w:i/>
          <w:spacing w:val="-10"/>
          <w:sz w:val="24"/>
        </w:rPr>
        <w:t> </w:t>
      </w:r>
      <w:r>
        <w:rPr>
          <w:b/>
          <w:i/>
          <w:spacing w:val="-2"/>
          <w:sz w:val="24"/>
        </w:rPr>
        <w:t>(XXXVI)</w:t>
      </w:r>
    </w:p>
    <w:p>
      <w:pPr>
        <w:pStyle w:val="BodyText"/>
        <w:spacing w:before="6"/>
        <w:rPr>
          <w:i/>
          <w:sz w:val="14"/>
        </w:rPr>
      </w:pPr>
    </w:p>
    <w:p>
      <w:pPr>
        <w:pStyle w:val="BodyText"/>
        <w:spacing w:before="90"/>
        <w:ind w:left="2681" w:right="2670"/>
        <w:jc w:val="center"/>
      </w:pPr>
      <w:r>
        <w:rPr>
          <w:u w:val="single"/>
        </w:rPr>
        <w:t>DECISION</w:t>
      </w:r>
      <w:r>
        <w:rPr>
          <w:spacing w:val="-7"/>
          <w:u w:val="single"/>
        </w:rPr>
        <w:t> </w:t>
      </w:r>
      <w:r>
        <w:rPr>
          <w:u w:val="single"/>
        </w:rPr>
        <w:t>ON</w:t>
      </w:r>
      <w:r>
        <w:rPr>
          <w:spacing w:val="-6"/>
          <w:u w:val="single"/>
        </w:rPr>
        <w:t> </w:t>
      </w:r>
      <w:r>
        <w:rPr>
          <w:u w:val="single"/>
        </w:rPr>
        <w:t>THE</w:t>
      </w:r>
      <w:r>
        <w:rPr>
          <w:spacing w:val="-6"/>
          <w:u w:val="single"/>
        </w:rPr>
        <w:t> </w:t>
      </w:r>
      <w:r>
        <w:rPr>
          <w:spacing w:val="-2"/>
          <w:u w:val="single"/>
        </w:rPr>
        <w:t>COMOROS</w:t>
      </w:r>
    </w:p>
    <w:p>
      <w:pPr>
        <w:pStyle w:val="BodyText"/>
        <w:rPr>
          <w:sz w:val="20"/>
        </w:rPr>
      </w:pPr>
    </w:p>
    <w:p>
      <w:pPr>
        <w:pStyle w:val="BodyText"/>
        <w:rPr>
          <w:sz w:val="20"/>
        </w:rPr>
      </w:pPr>
    </w:p>
    <w:p>
      <w:pPr>
        <w:pStyle w:val="BodyText"/>
        <w:spacing w:before="209"/>
        <w:ind w:left="120"/>
      </w:pPr>
      <w:r>
        <w:rPr/>
        <w:t>The</w:t>
      </w:r>
      <w:r>
        <w:rPr>
          <w:spacing w:val="-3"/>
        </w:rPr>
        <w:t> </w:t>
      </w:r>
      <w:r>
        <w:rPr>
          <w:spacing w:val="-2"/>
        </w:rPr>
        <w:t>Assembly:</w:t>
      </w:r>
    </w:p>
    <w:p>
      <w:pPr>
        <w:pStyle w:val="ListParagraph"/>
        <w:numPr>
          <w:ilvl w:val="0"/>
          <w:numId w:val="1"/>
        </w:numPr>
        <w:tabs>
          <w:tab w:pos="438" w:val="left" w:leader="none"/>
        </w:tabs>
        <w:spacing w:line="355" w:lineRule="auto" w:before="204" w:after="0"/>
        <w:ind w:left="119" w:right="110" w:firstLine="0"/>
        <w:jc w:val="both"/>
        <w:rPr>
          <w:b/>
          <w:sz w:val="24"/>
        </w:rPr>
      </w:pPr>
      <w:r>
        <w:rPr>
          <w:b/>
          <w:sz w:val="24"/>
        </w:rPr>
        <w:t>REITERATES its commitment to the Unity and territorial integrity of the </w:t>
      </w:r>
      <w:r>
        <w:rPr>
          <w:b/>
          <w:spacing w:val="-2"/>
          <w:sz w:val="24"/>
        </w:rPr>
        <w:t>Comoros;</w:t>
      </w:r>
    </w:p>
    <w:p>
      <w:pPr>
        <w:pStyle w:val="ListParagraph"/>
        <w:numPr>
          <w:ilvl w:val="0"/>
          <w:numId w:val="1"/>
        </w:numPr>
        <w:tabs>
          <w:tab w:pos="384" w:val="left" w:leader="none"/>
        </w:tabs>
        <w:spacing w:line="360" w:lineRule="auto" w:before="71" w:after="0"/>
        <w:ind w:left="120" w:right="107" w:firstLine="0"/>
        <w:jc w:val="both"/>
        <w:rPr>
          <w:b/>
          <w:sz w:val="24"/>
        </w:rPr>
      </w:pPr>
      <w:r>
        <w:rPr>
          <w:b/>
          <w:sz w:val="24"/>
        </w:rPr>
        <w:t>APPROVES the proposals of the Council of Ministers upon recommendation of the countries of the Region and of the Troika of the Central Organ aimed at putting an end to the Separatist crisis in Anjouan, particularly the military measures whose modalities will be determined by the countries of the Region and the Troika of the Central Organ;</w:t>
      </w:r>
    </w:p>
    <w:p>
      <w:pPr>
        <w:pStyle w:val="ListParagraph"/>
        <w:numPr>
          <w:ilvl w:val="0"/>
          <w:numId w:val="1"/>
        </w:numPr>
        <w:tabs>
          <w:tab w:pos="391" w:val="left" w:leader="none"/>
        </w:tabs>
        <w:spacing w:line="357" w:lineRule="auto" w:before="62" w:after="0"/>
        <w:ind w:left="120" w:right="103" w:firstLine="0"/>
        <w:jc w:val="both"/>
        <w:rPr>
          <w:b/>
          <w:sz w:val="24"/>
        </w:rPr>
      </w:pPr>
      <w:r>
        <w:rPr>
          <w:b/>
          <w:sz w:val="24"/>
        </w:rPr>
        <w:t>REITERATES ITS SUPPORT to the efforts of the countries of the Region and the Troika of the Central Organ in order to promote the restoration of the Constitutional Order in the Comoros and APPROVES the proposals made by the Council of Ministers in this regard.</w:t>
      </w:r>
    </w:p>
    <w:sectPr>
      <w:type w:val="continuous"/>
      <w:pgSz w:w="12240" w:h="15840"/>
      <w:pgMar w:top="142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318"/>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994" w:hanging="318"/>
      </w:pPr>
      <w:rPr>
        <w:rFonts w:hint="default"/>
        <w:lang w:val="en-US" w:eastAsia="en-US" w:bidi="ar-SA"/>
      </w:rPr>
    </w:lvl>
    <w:lvl w:ilvl="2">
      <w:start w:val="0"/>
      <w:numFmt w:val="bullet"/>
      <w:lvlText w:val="•"/>
      <w:lvlJc w:val="left"/>
      <w:pPr>
        <w:ind w:left="1868" w:hanging="318"/>
      </w:pPr>
      <w:rPr>
        <w:rFonts w:hint="default"/>
        <w:lang w:val="en-US" w:eastAsia="en-US" w:bidi="ar-SA"/>
      </w:rPr>
    </w:lvl>
    <w:lvl w:ilvl="3">
      <w:start w:val="0"/>
      <w:numFmt w:val="bullet"/>
      <w:lvlText w:val="•"/>
      <w:lvlJc w:val="left"/>
      <w:pPr>
        <w:ind w:left="2742" w:hanging="318"/>
      </w:pPr>
      <w:rPr>
        <w:rFonts w:hint="default"/>
        <w:lang w:val="en-US" w:eastAsia="en-US" w:bidi="ar-SA"/>
      </w:rPr>
    </w:lvl>
    <w:lvl w:ilvl="4">
      <w:start w:val="0"/>
      <w:numFmt w:val="bullet"/>
      <w:lvlText w:val="•"/>
      <w:lvlJc w:val="left"/>
      <w:pPr>
        <w:ind w:left="3616" w:hanging="318"/>
      </w:pPr>
      <w:rPr>
        <w:rFonts w:hint="default"/>
        <w:lang w:val="en-US" w:eastAsia="en-US" w:bidi="ar-SA"/>
      </w:rPr>
    </w:lvl>
    <w:lvl w:ilvl="5">
      <w:start w:val="0"/>
      <w:numFmt w:val="bullet"/>
      <w:lvlText w:val="•"/>
      <w:lvlJc w:val="left"/>
      <w:pPr>
        <w:ind w:left="4490" w:hanging="318"/>
      </w:pPr>
      <w:rPr>
        <w:rFonts w:hint="default"/>
        <w:lang w:val="en-US" w:eastAsia="en-US" w:bidi="ar-SA"/>
      </w:rPr>
    </w:lvl>
    <w:lvl w:ilvl="6">
      <w:start w:val="0"/>
      <w:numFmt w:val="bullet"/>
      <w:lvlText w:val="•"/>
      <w:lvlJc w:val="left"/>
      <w:pPr>
        <w:ind w:left="5364" w:hanging="318"/>
      </w:pPr>
      <w:rPr>
        <w:rFonts w:hint="default"/>
        <w:lang w:val="en-US" w:eastAsia="en-US" w:bidi="ar-SA"/>
      </w:rPr>
    </w:lvl>
    <w:lvl w:ilvl="7">
      <w:start w:val="0"/>
      <w:numFmt w:val="bullet"/>
      <w:lvlText w:val="•"/>
      <w:lvlJc w:val="left"/>
      <w:pPr>
        <w:ind w:left="6238" w:hanging="318"/>
      </w:pPr>
      <w:rPr>
        <w:rFonts w:hint="default"/>
        <w:lang w:val="en-US" w:eastAsia="en-US" w:bidi="ar-SA"/>
      </w:rPr>
    </w:lvl>
    <w:lvl w:ilvl="8">
      <w:start w:val="0"/>
      <w:numFmt w:val="bullet"/>
      <w:lvlText w:val="•"/>
      <w:lvlJc w:val="left"/>
      <w:pPr>
        <w:ind w:left="7112" w:hanging="31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62"/>
      <w:ind w:left="120" w:right="103"/>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DECISIONS ADOPTED BY THE THIRTY-SIXTH ORDINARY SESSION OF THE ASSEMBLY OF HEADS OF STATE AND GOVERNMENT</dc:title>
  <dcterms:created xsi:type="dcterms:W3CDTF">2023-04-01T19:51:54Z</dcterms:created>
  <dcterms:modified xsi:type="dcterms:W3CDTF">2023-04-01T19:51:54Z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LastSaved">
    <vt:filetime>2023-04-01T00:00:00Z</vt:filetime>
  </property>
  <property fmtid="{D5CDD505-2E9C-101B-9397-08002B2CF9AE}" pid="4" name="Producer">
    <vt:lpwstr>Acrobat PDFWriter 3.02 for Windows NT</vt:lpwstr>
  </property>
</Properties>
</file>