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z w:val="24"/>
        </w:rPr>
        <w:t>AHG/Dec.151</w:t>
      </w:r>
      <w:r>
        <w:rPr>
          <w:b/>
          <w:i/>
          <w:spacing w:val="-10"/>
          <w:sz w:val="24"/>
        </w:rPr>
        <w:t> </w:t>
      </w:r>
      <w:r>
        <w:rPr>
          <w:b/>
          <w:i/>
          <w:spacing w:val="-2"/>
          <w:sz w:val="24"/>
        </w:rPr>
        <w:t>(XXXVI)</w:t>
      </w:r>
    </w:p>
    <w:p>
      <w:pPr>
        <w:pStyle w:val="BodyText"/>
        <w:spacing w:before="3"/>
        <w:ind w:left="0"/>
        <w:jc w:val="left"/>
        <w:rPr>
          <w:i/>
          <w:sz w:val="22"/>
        </w:rPr>
      </w:pPr>
    </w:p>
    <w:p>
      <w:pPr>
        <w:pStyle w:val="BodyText"/>
        <w:spacing w:line="360" w:lineRule="auto" w:before="1"/>
        <w:ind w:left="164" w:right="156"/>
        <w:jc w:val="center"/>
      </w:pPr>
      <w:r>
        <w:rPr>
          <w:u w:val="single"/>
        </w:rPr>
        <w:t>DECISION</w:t>
      </w:r>
      <w:r>
        <w:rPr>
          <w:spacing w:val="-7"/>
          <w:u w:val="single"/>
        </w:rPr>
        <w:t> </w:t>
      </w:r>
      <w:r>
        <w:rPr>
          <w:u w:val="single"/>
        </w:rPr>
        <w:t>ON</w:t>
      </w:r>
      <w:r>
        <w:rPr>
          <w:spacing w:val="-7"/>
          <w:u w:val="single"/>
        </w:rPr>
        <w:t> </w:t>
      </w:r>
      <w:r>
        <w:rPr>
          <w:u w:val="single"/>
        </w:rPr>
        <w:t>THE</w:t>
      </w:r>
      <w:r>
        <w:rPr>
          <w:spacing w:val="-7"/>
          <w:u w:val="single"/>
        </w:rPr>
        <w:t> </w:t>
      </w:r>
      <w:r>
        <w:rPr>
          <w:u w:val="single"/>
        </w:rPr>
        <w:t>DISPUTE</w:t>
      </w:r>
      <w:r>
        <w:rPr>
          <w:spacing w:val="-7"/>
          <w:u w:val="single"/>
        </w:rPr>
        <w:t> </w:t>
      </w:r>
      <w:r>
        <w:rPr>
          <w:u w:val="single"/>
        </w:rPr>
        <w:t>BETWEEN</w:t>
      </w:r>
      <w:r>
        <w:rPr>
          <w:spacing w:val="-7"/>
          <w:u w:val="single"/>
        </w:rPr>
        <w:t> </w:t>
      </w:r>
      <w:r>
        <w:rPr>
          <w:u w:val="single"/>
        </w:rPr>
        <w:t>THE</w:t>
      </w:r>
      <w:r>
        <w:rPr>
          <w:spacing w:val="-7"/>
          <w:u w:val="single"/>
        </w:rPr>
        <w:t> </w:t>
      </w:r>
      <w:r>
        <w:rPr>
          <w:u w:val="single"/>
        </w:rPr>
        <w:t>LIBYAN</w:t>
      </w:r>
      <w:r>
        <w:rPr>
          <w:spacing w:val="-7"/>
          <w:u w:val="single"/>
        </w:rPr>
        <w:t> </w:t>
      </w:r>
      <w:r>
        <w:rPr>
          <w:u w:val="single"/>
        </w:rPr>
        <w:t>ARAB</w:t>
      </w:r>
      <w:r>
        <w:rPr>
          <w:spacing w:val="-6"/>
          <w:u w:val="single"/>
        </w:rPr>
        <w:t> </w:t>
      </w:r>
      <w:r>
        <w:rPr>
          <w:u w:val="single"/>
        </w:rPr>
        <w:t>JAMAHIRIYA,</w:t>
      </w:r>
      <w:r>
        <w:rPr/>
        <w:t> </w:t>
      </w:r>
      <w:r>
        <w:rPr>
          <w:u w:val="single"/>
        </w:rPr>
        <w:t>THE UNITED STATES OF AMERICA AND THE UNTIED KINGDOM - </w:t>
      </w:r>
      <w:r>
        <w:rPr/>
        <w:t> </w:t>
      </w:r>
      <w:r>
        <w:rPr>
          <w:u w:val="single"/>
        </w:rPr>
        <w:t>CM/2169 (LXXII)</w:t>
      </w:r>
    </w:p>
    <w:p>
      <w:pPr>
        <w:pStyle w:val="BodyText"/>
        <w:ind w:left="0"/>
        <w:jc w:val="left"/>
        <w:rPr>
          <w:sz w:val="20"/>
        </w:rPr>
      </w:pPr>
    </w:p>
    <w:p>
      <w:pPr>
        <w:pStyle w:val="BodyText"/>
        <w:spacing w:before="7"/>
        <w:ind w:left="0"/>
        <w:jc w:val="left"/>
        <w:rPr>
          <w:sz w:val="18"/>
        </w:rPr>
      </w:pPr>
    </w:p>
    <w:p>
      <w:pPr>
        <w:pStyle w:val="BodyText"/>
        <w:spacing w:before="90"/>
        <w:jc w:val="left"/>
      </w:pPr>
      <w:r>
        <w:rPr/>
        <w:t>The</w:t>
      </w:r>
      <w:r>
        <w:rPr>
          <w:spacing w:val="-3"/>
        </w:rPr>
        <w:t> </w:t>
      </w:r>
      <w:r>
        <w:rPr>
          <w:spacing w:val="-2"/>
        </w:rPr>
        <w:t>Assembly:</w:t>
      </w:r>
    </w:p>
    <w:p>
      <w:pPr>
        <w:pStyle w:val="ListParagraph"/>
        <w:numPr>
          <w:ilvl w:val="0"/>
          <w:numId w:val="1"/>
        </w:numPr>
        <w:tabs>
          <w:tab w:pos="423" w:val="left" w:leader="none"/>
        </w:tabs>
        <w:spacing w:line="360" w:lineRule="auto" w:before="199" w:after="0"/>
        <w:ind w:left="119" w:right="107" w:firstLine="0"/>
        <w:jc w:val="both"/>
        <w:rPr>
          <w:b/>
          <w:sz w:val="24"/>
        </w:rPr>
      </w:pPr>
      <w:r>
        <w:rPr>
          <w:b/>
          <w:sz w:val="24"/>
        </w:rPr>
        <w:t>EXPRESSES SATISFACTION at the commencement of the trial of the two Libyan suspects and REQUESTS that all the necessary conditions be provided to ensure that the trial is fair, neutral, and transparent;</w:t>
      </w:r>
    </w:p>
    <w:p>
      <w:pPr>
        <w:pStyle w:val="ListParagraph"/>
        <w:numPr>
          <w:ilvl w:val="0"/>
          <w:numId w:val="1"/>
        </w:numPr>
        <w:tabs>
          <w:tab w:pos="371" w:val="left" w:leader="none"/>
        </w:tabs>
        <w:spacing w:line="360" w:lineRule="auto" w:before="64" w:after="0"/>
        <w:ind w:left="120" w:right="108" w:firstLine="0"/>
        <w:jc w:val="both"/>
        <w:rPr>
          <w:b/>
          <w:sz w:val="24"/>
        </w:rPr>
      </w:pPr>
      <w:r>
        <w:rPr>
          <w:b/>
          <w:sz w:val="24"/>
        </w:rPr>
        <w:t>REQUESTS the Security Council to take a decision as soon as possible for a final and total lifting of sanctions imposed on the Great Socialist People’s Libyan Arab Jamahiriya and CONSIDERS as unacceptable any delay or impediment to this process, or any request contrary to international law, such as request for damages prior to the verdict of the Scottish Tribunal on this matter;</w:t>
      </w:r>
    </w:p>
    <w:p>
      <w:pPr>
        <w:pStyle w:val="ListParagraph"/>
        <w:numPr>
          <w:ilvl w:val="0"/>
          <w:numId w:val="1"/>
        </w:numPr>
        <w:tabs>
          <w:tab w:pos="365" w:val="left" w:leader="none"/>
        </w:tabs>
        <w:spacing w:line="360" w:lineRule="auto" w:before="56" w:after="0"/>
        <w:ind w:left="120" w:right="133" w:firstLine="0"/>
        <w:jc w:val="both"/>
        <w:rPr>
          <w:b/>
          <w:sz w:val="24"/>
        </w:rPr>
      </w:pPr>
      <w:r>
        <w:rPr>
          <w:b/>
          <w:sz w:val="24"/>
        </w:rPr>
        <w:t>REAFFIRMS</w:t>
      </w:r>
      <w:r>
        <w:rPr>
          <w:b/>
          <w:spacing w:val="-5"/>
          <w:sz w:val="24"/>
        </w:rPr>
        <w:t> </w:t>
      </w:r>
      <w:r>
        <w:rPr>
          <w:b/>
          <w:sz w:val="24"/>
        </w:rPr>
        <w:t>the</w:t>
      </w:r>
      <w:r>
        <w:rPr>
          <w:b/>
          <w:spacing w:val="-6"/>
          <w:sz w:val="24"/>
        </w:rPr>
        <w:t> </w:t>
      </w:r>
      <w:r>
        <w:rPr>
          <w:b/>
          <w:sz w:val="24"/>
        </w:rPr>
        <w:t>right</w:t>
      </w:r>
      <w:r>
        <w:rPr>
          <w:b/>
          <w:spacing w:val="-5"/>
          <w:sz w:val="24"/>
        </w:rPr>
        <w:t> </w:t>
      </w:r>
      <w:r>
        <w:rPr>
          <w:b/>
          <w:sz w:val="24"/>
        </w:rPr>
        <w:t>of</w:t>
      </w:r>
      <w:r>
        <w:rPr>
          <w:b/>
          <w:spacing w:val="-6"/>
          <w:sz w:val="24"/>
        </w:rPr>
        <w:t> </w:t>
      </w:r>
      <w:r>
        <w:rPr>
          <w:b/>
          <w:sz w:val="24"/>
        </w:rPr>
        <w:t>the</w:t>
      </w:r>
      <w:r>
        <w:rPr>
          <w:b/>
          <w:spacing w:val="-6"/>
          <w:sz w:val="24"/>
        </w:rPr>
        <w:t> </w:t>
      </w:r>
      <w:r>
        <w:rPr>
          <w:b/>
          <w:sz w:val="24"/>
        </w:rPr>
        <w:t>Great</w:t>
      </w:r>
      <w:r>
        <w:rPr>
          <w:b/>
          <w:spacing w:val="-5"/>
          <w:sz w:val="24"/>
        </w:rPr>
        <w:t> </w:t>
      </w:r>
      <w:r>
        <w:rPr>
          <w:b/>
          <w:sz w:val="24"/>
        </w:rPr>
        <w:t>Socialist</w:t>
      </w:r>
      <w:r>
        <w:rPr>
          <w:b/>
          <w:spacing w:val="-5"/>
          <w:sz w:val="24"/>
        </w:rPr>
        <w:t> </w:t>
      </w:r>
      <w:r>
        <w:rPr>
          <w:b/>
          <w:sz w:val="24"/>
        </w:rPr>
        <w:t>People’s</w:t>
      </w:r>
      <w:r>
        <w:rPr>
          <w:b/>
          <w:spacing w:val="-6"/>
          <w:sz w:val="24"/>
        </w:rPr>
        <w:t> </w:t>
      </w:r>
      <w:r>
        <w:rPr>
          <w:b/>
          <w:sz w:val="24"/>
        </w:rPr>
        <w:t>Libyan</w:t>
      </w:r>
      <w:r>
        <w:rPr>
          <w:b/>
          <w:spacing w:val="-5"/>
          <w:sz w:val="24"/>
        </w:rPr>
        <w:t> </w:t>
      </w:r>
      <w:r>
        <w:rPr>
          <w:b/>
          <w:sz w:val="24"/>
        </w:rPr>
        <w:t>Arab</w:t>
      </w:r>
      <w:r>
        <w:rPr>
          <w:b/>
          <w:spacing w:val="-5"/>
          <w:sz w:val="24"/>
        </w:rPr>
        <w:t> </w:t>
      </w:r>
      <w:r>
        <w:rPr>
          <w:b/>
          <w:sz w:val="24"/>
        </w:rPr>
        <w:t>Jamahiriya</w:t>
      </w:r>
      <w:r>
        <w:rPr>
          <w:b/>
          <w:spacing w:val="-5"/>
          <w:sz w:val="24"/>
        </w:rPr>
        <w:t> </w:t>
      </w:r>
      <w:r>
        <w:rPr>
          <w:b/>
          <w:sz w:val="24"/>
        </w:rPr>
        <w:t>to compensation for the damages caused by the imposition of sanctions;</w:t>
      </w:r>
    </w:p>
    <w:p>
      <w:pPr>
        <w:pStyle w:val="ListParagraph"/>
        <w:numPr>
          <w:ilvl w:val="0"/>
          <w:numId w:val="1"/>
        </w:numPr>
        <w:tabs>
          <w:tab w:pos="452" w:val="left" w:leader="none"/>
        </w:tabs>
        <w:spacing w:line="360" w:lineRule="auto" w:before="60" w:after="0"/>
        <w:ind w:left="119" w:right="104" w:firstLine="0"/>
        <w:jc w:val="both"/>
        <w:rPr>
          <w:b/>
          <w:sz w:val="24"/>
        </w:rPr>
      </w:pPr>
      <w:r>
        <w:rPr>
          <w:b/>
          <w:sz w:val="24"/>
        </w:rPr>
        <w:t>COMMENDS the Outgoing Chairman of the OAU for his endeavours in approaching the President of the UN Security Council as well as the UN Secretary- General regarding the immediate and definitive lifting of the sanctions imposed on the Great Socialist People’s Libyan Arab Jamahiriya;</w:t>
      </w:r>
    </w:p>
    <w:p>
      <w:pPr>
        <w:pStyle w:val="ListParagraph"/>
        <w:numPr>
          <w:ilvl w:val="0"/>
          <w:numId w:val="1"/>
        </w:numPr>
        <w:tabs>
          <w:tab w:pos="391" w:val="left" w:leader="none"/>
        </w:tabs>
        <w:spacing w:line="360" w:lineRule="auto" w:before="63" w:after="0"/>
        <w:ind w:left="119" w:right="105" w:firstLine="0"/>
        <w:jc w:val="both"/>
        <w:rPr>
          <w:b/>
          <w:sz w:val="24"/>
        </w:rPr>
      </w:pPr>
      <w:r>
        <w:rPr>
          <w:b/>
          <w:sz w:val="24"/>
        </w:rPr>
        <w:t>NOTES WITH APPRECIATION the normalization of diplomatic relations and economic</w:t>
      </w:r>
      <w:r>
        <w:rPr>
          <w:b/>
          <w:spacing w:val="-3"/>
          <w:sz w:val="24"/>
        </w:rPr>
        <w:t> </w:t>
      </w:r>
      <w:r>
        <w:rPr>
          <w:b/>
          <w:sz w:val="24"/>
        </w:rPr>
        <w:t>cooperation</w:t>
      </w:r>
      <w:r>
        <w:rPr>
          <w:b/>
          <w:spacing w:val="-3"/>
          <w:sz w:val="24"/>
        </w:rPr>
        <w:t> </w:t>
      </w:r>
      <w:r>
        <w:rPr>
          <w:b/>
          <w:sz w:val="24"/>
        </w:rPr>
        <w:t>between</w:t>
      </w:r>
      <w:r>
        <w:rPr>
          <w:b/>
          <w:spacing w:val="-3"/>
          <w:sz w:val="24"/>
        </w:rPr>
        <w:t> </w:t>
      </w:r>
      <w:r>
        <w:rPr>
          <w:b/>
          <w:sz w:val="24"/>
        </w:rPr>
        <w:t>the</w:t>
      </w:r>
      <w:r>
        <w:rPr>
          <w:b/>
          <w:spacing w:val="-3"/>
          <w:sz w:val="24"/>
        </w:rPr>
        <w:t> </w:t>
      </w:r>
      <w:r>
        <w:rPr>
          <w:b/>
          <w:sz w:val="24"/>
        </w:rPr>
        <w:t>Great</w:t>
      </w:r>
      <w:r>
        <w:rPr>
          <w:b/>
          <w:spacing w:val="-2"/>
          <w:sz w:val="24"/>
        </w:rPr>
        <w:t> </w:t>
      </w:r>
      <w:r>
        <w:rPr>
          <w:b/>
          <w:sz w:val="24"/>
        </w:rPr>
        <w:t>Socialist</w:t>
      </w:r>
      <w:r>
        <w:rPr>
          <w:b/>
          <w:spacing w:val="-2"/>
          <w:sz w:val="24"/>
        </w:rPr>
        <w:t> </w:t>
      </w:r>
      <w:r>
        <w:rPr>
          <w:b/>
          <w:sz w:val="24"/>
        </w:rPr>
        <w:t>People’s</w:t>
      </w:r>
      <w:r>
        <w:rPr>
          <w:b/>
          <w:spacing w:val="-4"/>
          <w:sz w:val="24"/>
        </w:rPr>
        <w:t> </w:t>
      </w:r>
      <w:r>
        <w:rPr>
          <w:b/>
          <w:sz w:val="24"/>
        </w:rPr>
        <w:t>Libyan</w:t>
      </w:r>
      <w:r>
        <w:rPr>
          <w:b/>
          <w:spacing w:val="-3"/>
          <w:sz w:val="24"/>
        </w:rPr>
        <w:t> </w:t>
      </w:r>
      <w:r>
        <w:rPr>
          <w:b/>
          <w:sz w:val="24"/>
        </w:rPr>
        <w:t>Arab</w:t>
      </w:r>
      <w:r>
        <w:rPr>
          <w:b/>
          <w:spacing w:val="-3"/>
          <w:sz w:val="24"/>
        </w:rPr>
        <w:t> </w:t>
      </w:r>
      <w:r>
        <w:rPr>
          <w:b/>
          <w:sz w:val="24"/>
        </w:rPr>
        <w:t>Jamahiriya and a number of Western countries and ENCOURAGES other countries to follow </w:t>
      </w:r>
      <w:r>
        <w:rPr>
          <w:b/>
          <w:spacing w:val="-2"/>
          <w:sz w:val="24"/>
        </w:rPr>
        <w:t>suit;</w:t>
      </w:r>
    </w:p>
    <w:p>
      <w:pPr>
        <w:pStyle w:val="ListParagraph"/>
        <w:numPr>
          <w:ilvl w:val="0"/>
          <w:numId w:val="1"/>
        </w:numPr>
        <w:tabs>
          <w:tab w:pos="559" w:val="left" w:leader="none"/>
        </w:tabs>
        <w:spacing w:line="360" w:lineRule="auto" w:before="58" w:after="0"/>
        <w:ind w:left="120" w:right="100" w:hanging="1"/>
        <w:jc w:val="both"/>
        <w:rPr>
          <w:b/>
          <w:sz w:val="24"/>
        </w:rPr>
      </w:pPr>
      <w:r>
        <w:rPr>
          <w:b/>
          <w:sz w:val="24"/>
        </w:rPr>
        <w:t>FURTHER REQUESTS the Secretary-General to follow-up on the implementation</w:t>
      </w:r>
      <w:r>
        <w:rPr>
          <w:b/>
          <w:spacing w:val="-2"/>
          <w:sz w:val="24"/>
        </w:rPr>
        <w:t> </w:t>
      </w:r>
      <w:r>
        <w:rPr>
          <w:b/>
          <w:sz w:val="24"/>
        </w:rPr>
        <w:t>of</w:t>
      </w:r>
      <w:r>
        <w:rPr>
          <w:b/>
          <w:spacing w:val="-3"/>
          <w:sz w:val="24"/>
        </w:rPr>
        <w:t> </w:t>
      </w:r>
      <w:r>
        <w:rPr>
          <w:b/>
          <w:sz w:val="24"/>
        </w:rPr>
        <w:t>this</w:t>
      </w:r>
      <w:r>
        <w:rPr>
          <w:b/>
          <w:spacing w:val="-3"/>
          <w:sz w:val="24"/>
        </w:rPr>
        <w:t> </w:t>
      </w:r>
      <w:r>
        <w:rPr>
          <w:b/>
          <w:sz w:val="24"/>
        </w:rPr>
        <w:t>decision</w:t>
      </w:r>
      <w:r>
        <w:rPr>
          <w:b/>
          <w:spacing w:val="-2"/>
          <w:sz w:val="24"/>
        </w:rPr>
        <w:t> </w:t>
      </w:r>
      <w:r>
        <w:rPr>
          <w:b/>
          <w:sz w:val="24"/>
        </w:rPr>
        <w:t>and</w:t>
      </w:r>
      <w:r>
        <w:rPr>
          <w:b/>
          <w:spacing w:val="-2"/>
          <w:sz w:val="24"/>
        </w:rPr>
        <w:t> </w:t>
      </w:r>
      <w:r>
        <w:rPr>
          <w:b/>
          <w:sz w:val="24"/>
        </w:rPr>
        <w:t>to</w:t>
      </w:r>
      <w:r>
        <w:rPr>
          <w:b/>
          <w:spacing w:val="-3"/>
          <w:sz w:val="24"/>
        </w:rPr>
        <w:t> </w:t>
      </w:r>
      <w:r>
        <w:rPr>
          <w:b/>
          <w:sz w:val="24"/>
        </w:rPr>
        <w:t>submit</w:t>
      </w:r>
      <w:r>
        <w:rPr>
          <w:b/>
          <w:spacing w:val="-2"/>
          <w:sz w:val="24"/>
        </w:rPr>
        <w:t> </w:t>
      </w:r>
      <w:r>
        <w:rPr>
          <w:b/>
          <w:sz w:val="24"/>
        </w:rPr>
        <w:t>a</w:t>
      </w:r>
      <w:r>
        <w:rPr>
          <w:b/>
          <w:spacing w:val="-3"/>
          <w:sz w:val="24"/>
        </w:rPr>
        <w:t> </w:t>
      </w:r>
      <w:r>
        <w:rPr>
          <w:b/>
          <w:sz w:val="24"/>
        </w:rPr>
        <w:t>report</w:t>
      </w:r>
      <w:r>
        <w:rPr>
          <w:b/>
          <w:spacing w:val="-2"/>
          <w:sz w:val="24"/>
        </w:rPr>
        <w:t> </w:t>
      </w:r>
      <w:r>
        <w:rPr>
          <w:b/>
          <w:sz w:val="24"/>
        </w:rPr>
        <w:t>thereon</w:t>
      </w:r>
      <w:r>
        <w:rPr>
          <w:b/>
          <w:spacing w:val="-2"/>
          <w:sz w:val="24"/>
        </w:rPr>
        <w:t> </w:t>
      </w:r>
      <w:r>
        <w:rPr>
          <w:b/>
          <w:sz w:val="24"/>
        </w:rPr>
        <w:t>to</w:t>
      </w:r>
      <w:r>
        <w:rPr>
          <w:b/>
          <w:spacing w:val="-3"/>
          <w:sz w:val="24"/>
        </w:rPr>
        <w:t> </w:t>
      </w:r>
      <w:r>
        <w:rPr>
          <w:b/>
          <w:sz w:val="24"/>
        </w:rPr>
        <w:t>the</w:t>
      </w:r>
      <w:r>
        <w:rPr>
          <w:b/>
          <w:spacing w:val="-3"/>
          <w:sz w:val="24"/>
        </w:rPr>
        <w:t> </w:t>
      </w:r>
      <w:r>
        <w:rPr>
          <w:b/>
          <w:sz w:val="24"/>
        </w:rPr>
        <w:t>Thirty-seventh Ordinary Session of the Assembly of Heads of State and Government.</w:t>
      </w:r>
    </w:p>
    <w:sectPr>
      <w:type w:val="continuous"/>
      <w:pgSz w:w="12240" w:h="15840"/>
      <w:pgMar w:top="14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03"/>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303"/>
      </w:pPr>
      <w:rPr>
        <w:rFonts w:hint="default"/>
        <w:lang w:val="en-US" w:eastAsia="en-US" w:bidi="ar-SA"/>
      </w:rPr>
    </w:lvl>
    <w:lvl w:ilvl="2">
      <w:start w:val="0"/>
      <w:numFmt w:val="bullet"/>
      <w:lvlText w:val="•"/>
      <w:lvlJc w:val="left"/>
      <w:pPr>
        <w:ind w:left="1868" w:hanging="303"/>
      </w:pPr>
      <w:rPr>
        <w:rFonts w:hint="default"/>
        <w:lang w:val="en-US" w:eastAsia="en-US" w:bidi="ar-SA"/>
      </w:rPr>
    </w:lvl>
    <w:lvl w:ilvl="3">
      <w:start w:val="0"/>
      <w:numFmt w:val="bullet"/>
      <w:lvlText w:val="•"/>
      <w:lvlJc w:val="left"/>
      <w:pPr>
        <w:ind w:left="2742" w:hanging="303"/>
      </w:pPr>
      <w:rPr>
        <w:rFonts w:hint="default"/>
        <w:lang w:val="en-US" w:eastAsia="en-US" w:bidi="ar-SA"/>
      </w:rPr>
    </w:lvl>
    <w:lvl w:ilvl="4">
      <w:start w:val="0"/>
      <w:numFmt w:val="bullet"/>
      <w:lvlText w:val="•"/>
      <w:lvlJc w:val="left"/>
      <w:pPr>
        <w:ind w:left="3616" w:hanging="303"/>
      </w:pPr>
      <w:rPr>
        <w:rFonts w:hint="default"/>
        <w:lang w:val="en-US" w:eastAsia="en-US" w:bidi="ar-SA"/>
      </w:rPr>
    </w:lvl>
    <w:lvl w:ilvl="5">
      <w:start w:val="0"/>
      <w:numFmt w:val="bullet"/>
      <w:lvlText w:val="•"/>
      <w:lvlJc w:val="left"/>
      <w:pPr>
        <w:ind w:left="4490" w:hanging="303"/>
      </w:pPr>
      <w:rPr>
        <w:rFonts w:hint="default"/>
        <w:lang w:val="en-US" w:eastAsia="en-US" w:bidi="ar-SA"/>
      </w:rPr>
    </w:lvl>
    <w:lvl w:ilvl="6">
      <w:start w:val="0"/>
      <w:numFmt w:val="bullet"/>
      <w:lvlText w:val="•"/>
      <w:lvlJc w:val="left"/>
      <w:pPr>
        <w:ind w:left="5364" w:hanging="303"/>
      </w:pPr>
      <w:rPr>
        <w:rFonts w:hint="default"/>
        <w:lang w:val="en-US" w:eastAsia="en-US" w:bidi="ar-SA"/>
      </w:rPr>
    </w:lvl>
    <w:lvl w:ilvl="7">
      <w:start w:val="0"/>
      <w:numFmt w:val="bullet"/>
      <w:lvlText w:val="•"/>
      <w:lvlJc w:val="left"/>
      <w:pPr>
        <w:ind w:left="6238" w:hanging="303"/>
      </w:pPr>
      <w:rPr>
        <w:rFonts w:hint="default"/>
        <w:lang w:val="en-US" w:eastAsia="en-US" w:bidi="ar-SA"/>
      </w:rPr>
    </w:lvl>
    <w:lvl w:ilvl="8">
      <w:start w:val="0"/>
      <w:numFmt w:val="bullet"/>
      <w:lvlText w:val="•"/>
      <w:lvlJc w:val="left"/>
      <w:pPr>
        <w:ind w:left="7112" w:hanging="30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jc w:val="both"/>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56"/>
      <w:ind w:left="119" w:right="10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2023-04-01T19:51:58Z</dcterms:created>
  <dcterms:modified xsi:type="dcterms:W3CDTF">2023-04-01T19:51:58Z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