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26"/>
        </w:rPr>
      </w:pPr>
    </w:p>
    <w:p>
      <w:pPr>
        <w:pStyle w:val="Title"/>
        <w:rPr>
          <w:u w:val="none"/>
        </w:rPr>
      </w:pPr>
      <w:r>
        <w:rPr>
          <w:u w:val="single"/>
        </w:rPr>
        <w:t>APARTHEID</w:t>
      </w:r>
      <w:r>
        <w:rPr>
          <w:spacing w:val="8"/>
          <w:u w:val="single"/>
        </w:rPr>
        <w:t> </w:t>
      </w:r>
      <w:r>
        <w:rPr>
          <w:u w:val="single"/>
        </w:rPr>
        <w:t>IN</w:t>
      </w:r>
      <w:r>
        <w:rPr>
          <w:spacing w:val="9"/>
          <w:u w:val="single"/>
        </w:rPr>
        <w:t> </w:t>
      </w:r>
      <w:r>
        <w:rPr>
          <w:u w:val="single"/>
        </w:rPr>
        <w:t>SOUTH</w:t>
      </w:r>
      <w:r>
        <w:rPr>
          <w:spacing w:val="9"/>
          <w:u w:val="single"/>
        </w:rPr>
        <w:t> </w:t>
      </w:r>
      <w:r>
        <w:rPr>
          <w:spacing w:val="-2"/>
          <w:u w:val="single"/>
        </w:rPr>
        <w:t>AFRICA</w:t>
      </w:r>
    </w:p>
    <w:p>
      <w:pPr>
        <w:pStyle w:val="BodyText"/>
        <w:rPr>
          <w:b/>
          <w:sz w:val="20"/>
        </w:rPr>
      </w:pPr>
    </w:p>
    <w:p>
      <w:pPr>
        <w:pStyle w:val="BodyText"/>
        <w:spacing w:before="10"/>
        <w:rPr>
          <w:b/>
          <w:sz w:val="16"/>
        </w:rPr>
      </w:pPr>
    </w:p>
    <w:p>
      <w:pPr>
        <w:pStyle w:val="BodyText"/>
        <w:spacing w:line="364" w:lineRule="auto" w:before="96"/>
        <w:ind w:left="171" w:right="158" w:firstLine="676"/>
        <w:jc w:val="both"/>
      </w:pPr>
      <w:r>
        <w:rPr/>
        <w:t>The Council of Ministers meeting in its Second Extraordinary Session in Lagos,</w:t>
      </w:r>
      <w:r>
        <w:rPr>
          <w:spacing w:val="40"/>
        </w:rPr>
        <w:t> </w:t>
      </w:r>
      <w:r>
        <w:rPr/>
        <w:t>Nigeria, from 24 to 29 February 1964,</w:t>
      </w:r>
    </w:p>
    <w:p>
      <w:pPr>
        <w:pStyle w:val="BodyText"/>
        <w:spacing w:before="6"/>
        <w:rPr>
          <w:sz w:val="34"/>
        </w:rPr>
      </w:pPr>
    </w:p>
    <w:p>
      <w:pPr>
        <w:pStyle w:val="BodyText"/>
        <w:spacing w:line="369" w:lineRule="auto"/>
        <w:ind w:left="171" w:right="148" w:firstLine="676"/>
        <w:jc w:val="both"/>
      </w:pPr>
      <w:r>
        <w:rPr>
          <w:b/>
          <w:u w:val="single"/>
        </w:rPr>
        <w:t>Recalling</w:t>
      </w:r>
      <w:r>
        <w:rPr>
          <w:b/>
        </w:rPr>
        <w:t> </w:t>
      </w:r>
      <w:r>
        <w:rPr/>
        <w:t>its previous resolutions on </w:t>
      </w:r>
      <w:r>
        <w:rPr>
          <w:u w:val="single"/>
        </w:rPr>
        <w:t>apartheid</w:t>
      </w:r>
      <w:r>
        <w:rPr/>
        <w:t> and racial discrimination and in particular</w:t>
      </w:r>
      <w:r>
        <w:rPr>
          <w:spacing w:val="40"/>
        </w:rPr>
        <w:t> </w:t>
      </w:r>
      <w:r>
        <w:rPr/>
        <w:t>the</w:t>
      </w:r>
      <w:r>
        <w:rPr>
          <w:spacing w:val="40"/>
        </w:rPr>
        <w:t> </w:t>
      </w:r>
      <w:r>
        <w:rPr/>
        <w:t>resolution</w:t>
      </w:r>
      <w:r>
        <w:rPr>
          <w:spacing w:val="40"/>
        </w:rPr>
        <w:t> </w:t>
      </w:r>
      <w:r>
        <w:rPr/>
        <w:t>adopted</w:t>
      </w:r>
      <w:r>
        <w:rPr>
          <w:spacing w:val="40"/>
        </w:rPr>
        <w:t> </w:t>
      </w:r>
      <w:r>
        <w:rPr/>
        <w:t>by</w:t>
      </w:r>
      <w:r>
        <w:rPr>
          <w:spacing w:val="40"/>
        </w:rPr>
        <w:t> </w:t>
      </w:r>
      <w:r>
        <w:rPr/>
        <w:t>the</w:t>
      </w:r>
      <w:r>
        <w:rPr>
          <w:spacing w:val="40"/>
        </w:rPr>
        <w:t> </w:t>
      </w:r>
      <w:r>
        <w:rPr/>
        <w:t>Summit</w:t>
      </w:r>
      <w:r>
        <w:rPr>
          <w:spacing w:val="40"/>
        </w:rPr>
        <w:t> </w:t>
      </w:r>
      <w:r>
        <w:rPr/>
        <w:t>Conference</w:t>
      </w:r>
      <w:r>
        <w:rPr>
          <w:spacing w:val="40"/>
        </w:rPr>
        <w:t> </w:t>
      </w:r>
      <w:r>
        <w:rPr/>
        <w:t>of</w:t>
      </w:r>
      <w:r>
        <w:rPr>
          <w:spacing w:val="40"/>
        </w:rPr>
        <w:t> </w:t>
      </w:r>
      <w:r>
        <w:rPr/>
        <w:t>Heads</w:t>
      </w:r>
      <w:r>
        <w:rPr>
          <w:spacing w:val="40"/>
        </w:rPr>
        <w:t> </w:t>
      </w:r>
      <w:r>
        <w:rPr/>
        <w:t>of</w:t>
      </w:r>
      <w:r>
        <w:rPr>
          <w:spacing w:val="40"/>
        </w:rPr>
        <w:t> </w:t>
      </w:r>
      <w:r>
        <w:rPr/>
        <w:t>State</w:t>
      </w:r>
      <w:r>
        <w:rPr>
          <w:spacing w:val="40"/>
        </w:rPr>
        <w:t> </w:t>
      </w:r>
      <w:r>
        <w:rPr/>
        <w:t>and Government held in Addis Ababa in May 1963,</w:t>
      </w:r>
    </w:p>
    <w:p>
      <w:pPr>
        <w:pStyle w:val="BodyText"/>
        <w:spacing w:before="7"/>
        <w:rPr>
          <w:sz w:val="33"/>
        </w:rPr>
      </w:pPr>
    </w:p>
    <w:p>
      <w:pPr>
        <w:spacing w:before="0"/>
        <w:ind w:left="848" w:right="0" w:firstLine="0"/>
        <w:jc w:val="left"/>
        <w:rPr>
          <w:sz w:val="22"/>
        </w:rPr>
      </w:pPr>
      <w:r>
        <w:rPr>
          <w:b/>
          <w:sz w:val="22"/>
          <w:u w:val="single"/>
        </w:rPr>
        <w:t>Having</w:t>
      </w:r>
      <w:r>
        <w:rPr>
          <w:b/>
          <w:spacing w:val="11"/>
          <w:sz w:val="22"/>
          <w:u w:val="single"/>
        </w:rPr>
        <w:t> </w:t>
      </w:r>
      <w:r>
        <w:rPr>
          <w:b/>
          <w:sz w:val="22"/>
          <w:u w:val="single"/>
        </w:rPr>
        <w:t>examined</w:t>
      </w:r>
      <w:r>
        <w:rPr>
          <w:b/>
          <w:spacing w:val="16"/>
          <w:sz w:val="22"/>
        </w:rPr>
        <w:t> </w:t>
      </w:r>
      <w:r>
        <w:rPr>
          <w:sz w:val="22"/>
        </w:rPr>
        <w:t>the</w:t>
      </w:r>
      <w:r>
        <w:rPr>
          <w:spacing w:val="10"/>
          <w:sz w:val="22"/>
        </w:rPr>
        <w:t> </w:t>
      </w:r>
      <w:r>
        <w:rPr>
          <w:sz w:val="22"/>
        </w:rPr>
        <w:t>report</w:t>
      </w:r>
      <w:r>
        <w:rPr>
          <w:spacing w:val="10"/>
          <w:sz w:val="22"/>
        </w:rPr>
        <w:t> </w:t>
      </w:r>
      <w:r>
        <w:rPr>
          <w:sz w:val="22"/>
        </w:rPr>
        <w:t>of</w:t>
      </w:r>
      <w:r>
        <w:rPr>
          <w:spacing w:val="10"/>
          <w:sz w:val="22"/>
        </w:rPr>
        <w:t> </w:t>
      </w:r>
      <w:r>
        <w:rPr>
          <w:sz w:val="22"/>
        </w:rPr>
        <w:t>the</w:t>
      </w:r>
      <w:r>
        <w:rPr>
          <w:spacing w:val="10"/>
          <w:sz w:val="22"/>
        </w:rPr>
        <w:t> </w:t>
      </w:r>
      <w:r>
        <w:rPr>
          <w:sz w:val="22"/>
        </w:rPr>
        <w:t>Liberation</w:t>
      </w:r>
      <w:r>
        <w:rPr>
          <w:spacing w:val="10"/>
          <w:sz w:val="22"/>
        </w:rPr>
        <w:t> </w:t>
      </w:r>
      <w:r>
        <w:rPr>
          <w:spacing w:val="-2"/>
          <w:sz w:val="22"/>
        </w:rPr>
        <w:t>Committee,</w:t>
      </w:r>
    </w:p>
    <w:p>
      <w:pPr>
        <w:pStyle w:val="BodyText"/>
        <w:rPr>
          <w:sz w:val="24"/>
        </w:rPr>
      </w:pPr>
    </w:p>
    <w:p>
      <w:pPr>
        <w:pStyle w:val="BodyText"/>
        <w:spacing w:before="7"/>
        <w:rPr>
          <w:sz w:val="21"/>
        </w:rPr>
      </w:pPr>
    </w:p>
    <w:p>
      <w:pPr>
        <w:pStyle w:val="BodyText"/>
        <w:spacing w:line="372" w:lineRule="auto" w:before="1"/>
        <w:ind w:left="171" w:right="155" w:firstLine="676"/>
        <w:jc w:val="both"/>
      </w:pPr>
      <w:r>
        <w:rPr>
          <w:b/>
          <w:u w:val="single"/>
        </w:rPr>
        <w:t>Having heard</w:t>
      </w:r>
      <w:r>
        <w:rPr>
          <w:b/>
        </w:rPr>
        <w:t> </w:t>
      </w:r>
      <w:r>
        <w:rPr/>
        <w:t>the report on the activities of the delegation of Ministers for Foreign Affairs</w:t>
      </w:r>
      <w:r>
        <w:rPr>
          <w:spacing w:val="32"/>
        </w:rPr>
        <w:t> </w:t>
      </w:r>
      <w:r>
        <w:rPr/>
        <w:t>instructed</w:t>
      </w:r>
      <w:r>
        <w:rPr>
          <w:spacing w:val="34"/>
        </w:rPr>
        <w:t> </w:t>
      </w:r>
      <w:r>
        <w:rPr/>
        <w:t>by</w:t>
      </w:r>
      <w:r>
        <w:rPr>
          <w:spacing w:val="32"/>
        </w:rPr>
        <w:t> </w:t>
      </w:r>
      <w:r>
        <w:rPr/>
        <w:t>the</w:t>
      </w:r>
      <w:r>
        <w:rPr>
          <w:spacing w:val="33"/>
        </w:rPr>
        <w:t> </w:t>
      </w:r>
      <w:r>
        <w:rPr/>
        <w:t>Summit</w:t>
      </w:r>
      <w:r>
        <w:rPr>
          <w:spacing w:val="32"/>
        </w:rPr>
        <w:t> </w:t>
      </w:r>
      <w:r>
        <w:rPr/>
        <w:t>Conference</w:t>
      </w:r>
      <w:r>
        <w:rPr>
          <w:spacing w:val="33"/>
        </w:rPr>
        <w:t> </w:t>
      </w:r>
      <w:r>
        <w:rPr/>
        <w:t>of</w:t>
      </w:r>
      <w:r>
        <w:rPr>
          <w:spacing w:val="32"/>
        </w:rPr>
        <w:t> </w:t>
      </w:r>
      <w:r>
        <w:rPr/>
        <w:t>Heads</w:t>
      </w:r>
      <w:r>
        <w:rPr>
          <w:spacing w:val="33"/>
        </w:rPr>
        <w:t> </w:t>
      </w:r>
      <w:r>
        <w:rPr/>
        <w:t>of</w:t>
      </w:r>
      <w:r>
        <w:rPr>
          <w:spacing w:val="32"/>
        </w:rPr>
        <w:t> </w:t>
      </w:r>
      <w:r>
        <w:rPr/>
        <w:t>State</w:t>
      </w:r>
      <w:r>
        <w:rPr>
          <w:spacing w:val="33"/>
        </w:rPr>
        <w:t> </w:t>
      </w:r>
      <w:r>
        <w:rPr/>
        <w:t>and</w:t>
      </w:r>
      <w:r>
        <w:rPr>
          <w:spacing w:val="34"/>
        </w:rPr>
        <w:t> </w:t>
      </w:r>
      <w:r>
        <w:rPr/>
        <w:t>Government</w:t>
      </w:r>
      <w:r>
        <w:rPr>
          <w:spacing w:val="32"/>
        </w:rPr>
        <w:t> </w:t>
      </w:r>
      <w:r>
        <w:rPr/>
        <w:t>to</w:t>
      </w:r>
      <w:r>
        <w:rPr>
          <w:spacing w:val="34"/>
        </w:rPr>
        <w:t> </w:t>
      </w:r>
      <w:r>
        <w:rPr/>
        <w:t>explain and uphold the African position before the United Nations Security Council,</w:t>
      </w:r>
    </w:p>
    <w:p>
      <w:pPr>
        <w:pStyle w:val="BodyText"/>
        <w:spacing w:before="10"/>
        <w:rPr>
          <w:sz w:val="32"/>
        </w:rPr>
      </w:pPr>
    </w:p>
    <w:p>
      <w:pPr>
        <w:pStyle w:val="BodyText"/>
        <w:spacing w:line="372" w:lineRule="auto"/>
        <w:ind w:left="171" w:right="164" w:firstLine="676"/>
        <w:jc w:val="both"/>
      </w:pPr>
      <w:r>
        <w:rPr>
          <w:b/>
          <w:u w:val="single"/>
        </w:rPr>
        <w:t>Noting</w:t>
      </w:r>
      <w:r>
        <w:rPr>
          <w:b/>
        </w:rPr>
        <w:t> </w:t>
      </w:r>
      <w:r>
        <w:rPr/>
        <w:t>with grave concern the consistent refusal of the South African Government to give consideration to appeals made by every sector of world opinion and in particular the resolutions of the United Nations Security Council and General Assembly,</w:t>
      </w:r>
    </w:p>
    <w:p>
      <w:pPr>
        <w:pStyle w:val="BodyText"/>
        <w:spacing w:before="4"/>
        <w:rPr>
          <w:sz w:val="33"/>
        </w:rPr>
      </w:pPr>
    </w:p>
    <w:p>
      <w:pPr>
        <w:pStyle w:val="BodyText"/>
        <w:spacing w:line="369" w:lineRule="auto" w:before="1"/>
        <w:ind w:left="171" w:right="163" w:firstLine="676"/>
        <w:jc w:val="both"/>
      </w:pPr>
      <w:r>
        <w:rPr>
          <w:b/>
          <w:u w:val="single"/>
        </w:rPr>
        <w:t>Noting</w:t>
      </w:r>
      <w:r>
        <w:rPr>
          <w:b/>
        </w:rPr>
        <w:t> </w:t>
      </w:r>
      <w:r>
        <w:rPr/>
        <w:t>in particular that, in vies of the South African Government’s apparent decision to disregard all peaceful intervention attempting to bring about discontinuation of their policy</w:t>
      </w:r>
      <w:r>
        <w:rPr>
          <w:spacing w:val="40"/>
        </w:rPr>
        <w:t> </w:t>
      </w:r>
      <w:r>
        <w:rPr/>
        <w:t>of </w:t>
      </w:r>
      <w:r>
        <w:rPr>
          <w:u w:val="single"/>
        </w:rPr>
        <w:t>apartheid</w:t>
      </w:r>
      <w:r>
        <w:rPr/>
        <w:t>, sanctions of every nature being the only means available of achieving a peaceful solution to the explosive situation which prevails in South Africa,</w:t>
      </w:r>
    </w:p>
    <w:p>
      <w:pPr>
        <w:pStyle w:val="BodyText"/>
        <w:spacing w:before="10"/>
        <w:rPr>
          <w:sz w:val="33"/>
        </w:rPr>
      </w:pPr>
    </w:p>
    <w:p>
      <w:pPr>
        <w:pStyle w:val="BodyText"/>
        <w:spacing w:line="364" w:lineRule="auto" w:before="1"/>
        <w:ind w:left="171" w:right="156" w:firstLine="676"/>
        <w:jc w:val="both"/>
      </w:pPr>
      <w:r>
        <w:rPr>
          <w:b/>
          <w:u w:val="single"/>
        </w:rPr>
        <w:t>Decides</w:t>
      </w:r>
      <w:r>
        <w:rPr>
          <w:b/>
        </w:rPr>
        <w:t> </w:t>
      </w:r>
      <w:r>
        <w:rPr/>
        <w:t>to submit to the next Assembly of Heads of State and Government the following recommendations and request it to,</w:t>
      </w:r>
    </w:p>
    <w:p>
      <w:pPr>
        <w:pStyle w:val="BodyText"/>
        <w:spacing w:before="1"/>
        <w:rPr>
          <w:sz w:val="34"/>
        </w:rPr>
      </w:pPr>
    </w:p>
    <w:p>
      <w:pPr>
        <w:pStyle w:val="ListParagraph"/>
        <w:numPr>
          <w:ilvl w:val="0"/>
          <w:numId w:val="1"/>
        </w:numPr>
        <w:tabs>
          <w:tab w:pos="1184" w:val="left" w:leader="none"/>
        </w:tabs>
        <w:spacing w:line="374" w:lineRule="auto" w:before="0" w:after="0"/>
        <w:ind w:left="1184" w:right="149" w:hanging="336"/>
        <w:jc w:val="both"/>
        <w:rPr>
          <w:sz w:val="22"/>
        </w:rPr>
      </w:pPr>
      <w:r>
        <w:rPr>
          <w:b/>
          <w:sz w:val="22"/>
        </w:rPr>
        <w:t>REAFFIRM</w:t>
      </w:r>
      <w:r>
        <w:rPr>
          <w:b/>
          <w:spacing w:val="40"/>
          <w:sz w:val="22"/>
        </w:rPr>
        <w:t> </w:t>
      </w:r>
      <w:r>
        <w:rPr>
          <w:sz w:val="22"/>
        </w:rPr>
        <w:t>that the position in South Africa represents a serous threat to peace and international security;</w:t>
      </w:r>
    </w:p>
    <w:p>
      <w:pPr>
        <w:pStyle w:val="BodyText"/>
        <w:spacing w:before="2"/>
        <w:rPr>
          <w:sz w:val="33"/>
        </w:rPr>
      </w:pPr>
    </w:p>
    <w:p>
      <w:pPr>
        <w:pStyle w:val="ListParagraph"/>
        <w:numPr>
          <w:ilvl w:val="0"/>
          <w:numId w:val="1"/>
        </w:numPr>
        <w:tabs>
          <w:tab w:pos="1184" w:val="left" w:leader="none"/>
        </w:tabs>
        <w:spacing w:line="369" w:lineRule="auto" w:before="1" w:after="0"/>
        <w:ind w:left="1184" w:right="156" w:hanging="336"/>
        <w:jc w:val="both"/>
        <w:rPr>
          <w:sz w:val="22"/>
        </w:rPr>
      </w:pPr>
      <w:r>
        <w:rPr>
          <w:b/>
          <w:sz w:val="22"/>
        </w:rPr>
        <w:t>CONDEMN</w:t>
      </w:r>
      <w:r>
        <w:rPr>
          <w:b/>
          <w:spacing w:val="40"/>
          <w:sz w:val="22"/>
        </w:rPr>
        <w:t> </w:t>
      </w:r>
      <w:r>
        <w:rPr>
          <w:sz w:val="22"/>
        </w:rPr>
        <w:t>the</w:t>
      </w:r>
      <w:r>
        <w:rPr>
          <w:spacing w:val="40"/>
          <w:sz w:val="22"/>
        </w:rPr>
        <w:t> </w:t>
      </w:r>
      <w:r>
        <w:rPr>
          <w:sz w:val="22"/>
        </w:rPr>
        <w:t>South</w:t>
      </w:r>
      <w:r>
        <w:rPr>
          <w:spacing w:val="40"/>
          <w:sz w:val="22"/>
        </w:rPr>
        <w:t> </w:t>
      </w:r>
      <w:r>
        <w:rPr>
          <w:sz w:val="22"/>
        </w:rPr>
        <w:t>African</w:t>
      </w:r>
      <w:r>
        <w:rPr>
          <w:spacing w:val="40"/>
          <w:sz w:val="22"/>
        </w:rPr>
        <w:t> </w:t>
      </w:r>
      <w:r>
        <w:rPr>
          <w:sz w:val="22"/>
        </w:rPr>
        <w:t>Government</w:t>
      </w:r>
      <w:r>
        <w:rPr>
          <w:spacing w:val="40"/>
          <w:sz w:val="22"/>
        </w:rPr>
        <w:t> </w:t>
      </w:r>
      <w:r>
        <w:rPr>
          <w:sz w:val="22"/>
        </w:rPr>
        <w:t>whose</w:t>
      </w:r>
      <w:r>
        <w:rPr>
          <w:spacing w:val="40"/>
          <w:sz w:val="22"/>
        </w:rPr>
        <w:t> </w:t>
      </w:r>
      <w:r>
        <w:rPr>
          <w:sz w:val="22"/>
        </w:rPr>
        <w:t>policy</w:t>
      </w:r>
      <w:r>
        <w:rPr>
          <w:spacing w:val="40"/>
          <w:sz w:val="22"/>
        </w:rPr>
        <w:t> </w:t>
      </w:r>
      <w:r>
        <w:rPr>
          <w:sz w:val="22"/>
        </w:rPr>
        <w:t>being</w:t>
      </w:r>
      <w:r>
        <w:rPr>
          <w:spacing w:val="40"/>
          <w:sz w:val="22"/>
        </w:rPr>
        <w:t> </w:t>
      </w:r>
      <w:r>
        <w:rPr>
          <w:sz w:val="22"/>
        </w:rPr>
        <w:t>incompatible with its political and moral obligations as a Member State of the United Nations, constitutes a grave danger to stability and peace in Africa and in the world;</w:t>
      </w:r>
    </w:p>
    <w:p>
      <w:pPr>
        <w:spacing w:after="0" w:line="369" w:lineRule="auto"/>
        <w:jc w:val="both"/>
        <w:rPr>
          <w:sz w:val="22"/>
        </w:rPr>
        <w:sectPr>
          <w:headerReference w:type="default" r:id="rId5"/>
          <w:type w:val="continuous"/>
          <w:pgSz w:w="12240" w:h="15840"/>
          <w:pgMar w:header="701" w:footer="0" w:top="940" w:bottom="280" w:left="1720" w:right="1720"/>
          <w:pgNumType w:start="1"/>
        </w:sectPr>
      </w:pPr>
    </w:p>
    <w:p>
      <w:pPr>
        <w:pStyle w:val="ListParagraph"/>
        <w:numPr>
          <w:ilvl w:val="0"/>
          <w:numId w:val="1"/>
        </w:numPr>
        <w:tabs>
          <w:tab w:pos="1184" w:val="left" w:leader="none"/>
        </w:tabs>
        <w:spacing w:line="369" w:lineRule="auto" w:before="5" w:after="0"/>
        <w:ind w:left="1183" w:right="147" w:hanging="336"/>
        <w:jc w:val="both"/>
        <w:rPr>
          <w:sz w:val="22"/>
        </w:rPr>
      </w:pPr>
      <w:r>
        <w:rPr>
          <w:b/>
          <w:sz w:val="22"/>
        </w:rPr>
        <w:t>APPROVE </w:t>
      </w:r>
      <w:r>
        <w:rPr>
          <w:sz w:val="22"/>
        </w:rPr>
        <w:t>and encourage the action of representatives of the Organization of African</w:t>
      </w:r>
      <w:r>
        <w:rPr>
          <w:spacing w:val="40"/>
          <w:sz w:val="22"/>
        </w:rPr>
        <w:t> </w:t>
      </w:r>
      <w:r>
        <w:rPr>
          <w:sz w:val="22"/>
        </w:rPr>
        <w:t>Unity</w:t>
      </w:r>
      <w:r>
        <w:rPr>
          <w:spacing w:val="40"/>
          <w:sz w:val="22"/>
        </w:rPr>
        <w:t> </w:t>
      </w:r>
      <w:r>
        <w:rPr>
          <w:sz w:val="22"/>
        </w:rPr>
        <w:t>within</w:t>
      </w:r>
      <w:r>
        <w:rPr>
          <w:spacing w:val="40"/>
          <w:sz w:val="22"/>
        </w:rPr>
        <w:t> </w:t>
      </w:r>
      <w:r>
        <w:rPr>
          <w:sz w:val="22"/>
        </w:rPr>
        <w:t>the</w:t>
      </w:r>
      <w:r>
        <w:rPr>
          <w:spacing w:val="40"/>
          <w:sz w:val="22"/>
        </w:rPr>
        <w:t> </w:t>
      </w:r>
      <w:r>
        <w:rPr>
          <w:sz w:val="22"/>
        </w:rPr>
        <w:t>various</w:t>
      </w:r>
      <w:r>
        <w:rPr>
          <w:spacing w:val="40"/>
          <w:sz w:val="22"/>
        </w:rPr>
        <w:t> </w:t>
      </w:r>
      <w:r>
        <w:rPr>
          <w:sz w:val="22"/>
        </w:rPr>
        <w:t>international</w:t>
      </w:r>
      <w:r>
        <w:rPr>
          <w:spacing w:val="40"/>
          <w:sz w:val="22"/>
        </w:rPr>
        <w:t> </w:t>
      </w:r>
      <w:r>
        <w:rPr>
          <w:sz w:val="22"/>
        </w:rPr>
        <w:t>bodies</w:t>
      </w:r>
      <w:r>
        <w:rPr>
          <w:spacing w:val="40"/>
          <w:sz w:val="22"/>
        </w:rPr>
        <w:t> </w:t>
      </w:r>
      <w:r>
        <w:rPr>
          <w:sz w:val="22"/>
        </w:rPr>
        <w:t>with</w:t>
      </w:r>
      <w:r>
        <w:rPr>
          <w:spacing w:val="40"/>
          <w:sz w:val="22"/>
        </w:rPr>
        <w:t> </w:t>
      </w:r>
      <w:r>
        <w:rPr>
          <w:sz w:val="22"/>
        </w:rPr>
        <w:t>a</w:t>
      </w:r>
      <w:r>
        <w:rPr>
          <w:spacing w:val="40"/>
          <w:sz w:val="22"/>
        </w:rPr>
        <w:t> </w:t>
      </w:r>
      <w:r>
        <w:rPr>
          <w:sz w:val="22"/>
        </w:rPr>
        <w:t>view</w:t>
      </w:r>
      <w:r>
        <w:rPr>
          <w:spacing w:val="40"/>
          <w:sz w:val="22"/>
        </w:rPr>
        <w:t> </w:t>
      </w:r>
      <w:r>
        <w:rPr>
          <w:sz w:val="22"/>
        </w:rPr>
        <w:t>to</w:t>
      </w:r>
      <w:r>
        <w:rPr>
          <w:spacing w:val="40"/>
          <w:sz w:val="22"/>
        </w:rPr>
        <w:t> </w:t>
      </w:r>
      <w:r>
        <w:rPr>
          <w:sz w:val="22"/>
        </w:rPr>
        <w:t>bringing about abolition of the policy of </w:t>
      </w:r>
      <w:r>
        <w:rPr>
          <w:sz w:val="22"/>
          <w:u w:val="single"/>
        </w:rPr>
        <w:t>apartheid</w:t>
      </w:r>
      <w:r>
        <w:rPr>
          <w:sz w:val="22"/>
        </w:rPr>
        <w:t> and note with pleasure the increasing support of a number of countries and institutions in favour of African demands in this respect;</w:t>
      </w:r>
    </w:p>
    <w:p>
      <w:pPr>
        <w:pStyle w:val="BodyText"/>
        <w:spacing w:before="10"/>
        <w:rPr>
          <w:sz w:val="33"/>
        </w:rPr>
      </w:pPr>
    </w:p>
    <w:p>
      <w:pPr>
        <w:pStyle w:val="ListParagraph"/>
        <w:numPr>
          <w:ilvl w:val="0"/>
          <w:numId w:val="1"/>
        </w:numPr>
        <w:tabs>
          <w:tab w:pos="1184" w:val="left" w:leader="none"/>
        </w:tabs>
        <w:spacing w:line="369" w:lineRule="auto" w:before="0" w:after="0"/>
        <w:ind w:left="1183" w:right="154" w:hanging="336"/>
        <w:jc w:val="both"/>
        <w:rPr>
          <w:sz w:val="22"/>
        </w:rPr>
      </w:pPr>
      <w:r>
        <w:rPr>
          <w:b/>
          <w:sz w:val="22"/>
        </w:rPr>
        <w:t>REITERATE </w:t>
      </w:r>
      <w:r>
        <w:rPr>
          <w:sz w:val="22"/>
        </w:rPr>
        <w:t>its appeal to all countries to apply in the strictest manner the economic, diplomatic, political and military sanctions already decided by the</w:t>
      </w:r>
      <w:r>
        <w:rPr>
          <w:spacing w:val="80"/>
          <w:sz w:val="22"/>
        </w:rPr>
        <w:t> </w:t>
      </w:r>
      <w:r>
        <w:rPr>
          <w:sz w:val="22"/>
        </w:rPr>
        <w:t>United Nations General Assembly and Security Council;</w:t>
      </w:r>
    </w:p>
    <w:p>
      <w:pPr>
        <w:pStyle w:val="BodyText"/>
        <w:spacing w:before="7"/>
        <w:rPr>
          <w:sz w:val="33"/>
        </w:rPr>
      </w:pPr>
    </w:p>
    <w:p>
      <w:pPr>
        <w:pStyle w:val="ListParagraph"/>
        <w:numPr>
          <w:ilvl w:val="0"/>
          <w:numId w:val="1"/>
        </w:numPr>
        <w:tabs>
          <w:tab w:pos="1184" w:val="left" w:leader="none"/>
        </w:tabs>
        <w:spacing w:line="369" w:lineRule="auto" w:before="0" w:after="0"/>
        <w:ind w:left="1184" w:right="146" w:hanging="336"/>
        <w:jc w:val="both"/>
        <w:rPr>
          <w:sz w:val="22"/>
        </w:rPr>
      </w:pPr>
      <w:r>
        <w:rPr>
          <w:b/>
          <w:sz w:val="22"/>
        </w:rPr>
        <w:t>LAUNCH </w:t>
      </w:r>
      <w:r>
        <w:rPr>
          <w:sz w:val="22"/>
        </w:rPr>
        <w:t>a special appeal to the major commercial partners of the South African Government, requesting them to discontinue the encouragement they are giving to the maintenance of</w:t>
      </w:r>
      <w:r>
        <w:rPr>
          <w:spacing w:val="33"/>
          <w:sz w:val="22"/>
        </w:rPr>
        <w:t> </w:t>
      </w:r>
      <w:r>
        <w:rPr>
          <w:sz w:val="22"/>
          <w:u w:val="single"/>
        </w:rPr>
        <w:t>apartheid</w:t>
      </w:r>
      <w:r>
        <w:rPr>
          <w:sz w:val="22"/>
        </w:rPr>
        <w:t> by their investments and commercial relations with</w:t>
      </w:r>
      <w:r>
        <w:rPr>
          <w:spacing w:val="80"/>
          <w:sz w:val="22"/>
        </w:rPr>
        <w:t> </w:t>
      </w:r>
      <w:r>
        <w:rPr>
          <w:sz w:val="22"/>
        </w:rPr>
        <w:t>the Pretoria Government;</w:t>
      </w:r>
    </w:p>
    <w:p>
      <w:pPr>
        <w:pStyle w:val="BodyText"/>
        <w:spacing w:before="6"/>
        <w:rPr>
          <w:sz w:val="33"/>
        </w:rPr>
      </w:pPr>
    </w:p>
    <w:p>
      <w:pPr>
        <w:pStyle w:val="ListParagraph"/>
        <w:numPr>
          <w:ilvl w:val="0"/>
          <w:numId w:val="1"/>
        </w:numPr>
        <w:tabs>
          <w:tab w:pos="1184" w:val="left" w:leader="none"/>
        </w:tabs>
        <w:spacing w:line="369" w:lineRule="auto" w:before="0" w:after="0"/>
        <w:ind w:left="1184" w:right="144" w:hanging="336"/>
        <w:jc w:val="both"/>
        <w:rPr>
          <w:sz w:val="22"/>
        </w:rPr>
      </w:pPr>
      <w:r>
        <w:rPr>
          <w:b/>
          <w:sz w:val="22"/>
        </w:rPr>
        <w:t>CONGRATULATE </w:t>
      </w:r>
      <w:r>
        <w:rPr>
          <w:sz w:val="22"/>
        </w:rPr>
        <w:t>the ministerial delegation appointed by the Summit Conference of Heads of State and Government and request it to approach the Security Council in order that the latter should take all necessary steps as soon as possible to implement its resolutions S/5386 of 7 August 1963 and S/5471 of 4 December 1963, concerning the discontinuation of the mockeries of trials given to South African nationalists and the release of all those persons who are imprisoned, interned or subjected to other restrictions for having opposed</w:t>
      </w:r>
      <w:r>
        <w:rPr>
          <w:spacing w:val="26"/>
          <w:sz w:val="22"/>
        </w:rPr>
        <w:t> </w:t>
      </w:r>
      <w:r>
        <w:rPr>
          <w:sz w:val="22"/>
          <w:u w:val="single"/>
        </w:rPr>
        <w:t>apartheid;</w:t>
      </w:r>
    </w:p>
    <w:p>
      <w:pPr>
        <w:pStyle w:val="BodyText"/>
        <w:spacing w:before="5"/>
        <w:rPr>
          <w:sz w:val="25"/>
        </w:rPr>
      </w:pPr>
    </w:p>
    <w:p>
      <w:pPr>
        <w:pStyle w:val="ListParagraph"/>
        <w:numPr>
          <w:ilvl w:val="0"/>
          <w:numId w:val="1"/>
        </w:numPr>
        <w:tabs>
          <w:tab w:pos="1184" w:val="left" w:leader="none"/>
        </w:tabs>
        <w:spacing w:line="372" w:lineRule="auto" w:before="96" w:after="0"/>
        <w:ind w:left="1184" w:right="161" w:hanging="336"/>
        <w:jc w:val="both"/>
        <w:rPr>
          <w:sz w:val="22"/>
        </w:rPr>
      </w:pPr>
      <w:r>
        <w:rPr>
          <w:b/>
          <w:sz w:val="22"/>
        </w:rPr>
        <w:t>DECIDE </w:t>
      </w:r>
      <w:r>
        <w:rPr>
          <w:sz w:val="22"/>
        </w:rPr>
        <w:t>to take the necessary steps to refuse any aeroplane or ship or nay other means</w:t>
      </w:r>
      <w:r>
        <w:rPr>
          <w:spacing w:val="35"/>
          <w:sz w:val="22"/>
        </w:rPr>
        <w:t> </w:t>
      </w:r>
      <w:r>
        <w:rPr>
          <w:sz w:val="22"/>
        </w:rPr>
        <w:t>of</w:t>
      </w:r>
      <w:r>
        <w:rPr>
          <w:spacing w:val="35"/>
          <w:sz w:val="22"/>
        </w:rPr>
        <w:t> </w:t>
      </w:r>
      <w:r>
        <w:rPr>
          <w:sz w:val="22"/>
        </w:rPr>
        <w:t>communication</w:t>
      </w:r>
      <w:r>
        <w:rPr>
          <w:spacing w:val="35"/>
          <w:sz w:val="22"/>
        </w:rPr>
        <w:t> </w:t>
      </w:r>
      <w:r>
        <w:rPr>
          <w:sz w:val="22"/>
        </w:rPr>
        <w:t>going</w:t>
      </w:r>
      <w:r>
        <w:rPr>
          <w:spacing w:val="35"/>
          <w:sz w:val="22"/>
        </w:rPr>
        <w:t> </w:t>
      </w:r>
      <w:r>
        <w:rPr>
          <w:sz w:val="22"/>
        </w:rPr>
        <w:t>to</w:t>
      </w:r>
      <w:r>
        <w:rPr>
          <w:spacing w:val="36"/>
          <w:sz w:val="22"/>
        </w:rPr>
        <w:t> </w:t>
      </w:r>
      <w:r>
        <w:rPr>
          <w:sz w:val="22"/>
        </w:rPr>
        <w:t>or</w:t>
      </w:r>
      <w:r>
        <w:rPr>
          <w:spacing w:val="36"/>
          <w:sz w:val="22"/>
        </w:rPr>
        <w:t> </w:t>
      </w:r>
      <w:r>
        <w:rPr>
          <w:sz w:val="22"/>
        </w:rPr>
        <w:t>coming</w:t>
      </w:r>
      <w:r>
        <w:rPr>
          <w:spacing w:val="35"/>
          <w:sz w:val="22"/>
        </w:rPr>
        <w:t> </w:t>
      </w:r>
      <w:r>
        <w:rPr>
          <w:sz w:val="22"/>
        </w:rPr>
        <w:t>from</w:t>
      </w:r>
      <w:r>
        <w:rPr>
          <w:spacing w:val="36"/>
          <w:sz w:val="22"/>
        </w:rPr>
        <w:t> </w:t>
      </w:r>
      <w:r>
        <w:rPr>
          <w:sz w:val="22"/>
        </w:rPr>
        <w:t>South</w:t>
      </w:r>
      <w:r>
        <w:rPr>
          <w:spacing w:val="35"/>
          <w:sz w:val="22"/>
        </w:rPr>
        <w:t> </w:t>
      </w:r>
      <w:r>
        <w:rPr>
          <w:sz w:val="22"/>
        </w:rPr>
        <w:t>Africa</w:t>
      </w:r>
      <w:r>
        <w:rPr>
          <w:spacing w:val="35"/>
          <w:sz w:val="22"/>
        </w:rPr>
        <w:t> </w:t>
      </w:r>
      <w:r>
        <w:rPr>
          <w:sz w:val="22"/>
        </w:rPr>
        <w:t>the</w:t>
      </w:r>
      <w:r>
        <w:rPr>
          <w:spacing w:val="35"/>
          <w:sz w:val="22"/>
        </w:rPr>
        <w:t> </w:t>
      </w:r>
      <w:r>
        <w:rPr>
          <w:sz w:val="22"/>
        </w:rPr>
        <w:t>right</w:t>
      </w:r>
      <w:r>
        <w:rPr>
          <w:spacing w:val="35"/>
          <w:sz w:val="22"/>
        </w:rPr>
        <w:t> </w:t>
      </w:r>
      <w:r>
        <w:rPr>
          <w:sz w:val="22"/>
        </w:rPr>
        <w:t>to</w:t>
      </w:r>
      <w:r>
        <w:rPr>
          <w:spacing w:val="36"/>
          <w:sz w:val="22"/>
        </w:rPr>
        <w:t> </w:t>
      </w:r>
      <w:r>
        <w:rPr>
          <w:sz w:val="22"/>
        </w:rPr>
        <w:t>fly over the territories of Member States or utilize their ports or any other facilities;</w:t>
      </w:r>
    </w:p>
    <w:p>
      <w:pPr>
        <w:pStyle w:val="BodyText"/>
        <w:spacing w:before="10"/>
        <w:rPr>
          <w:sz w:val="32"/>
        </w:rPr>
      </w:pPr>
    </w:p>
    <w:p>
      <w:pPr>
        <w:pStyle w:val="ListParagraph"/>
        <w:numPr>
          <w:ilvl w:val="0"/>
          <w:numId w:val="1"/>
        </w:numPr>
        <w:tabs>
          <w:tab w:pos="1184" w:val="left" w:leader="none"/>
        </w:tabs>
        <w:spacing w:line="369" w:lineRule="auto" w:before="1" w:after="0"/>
        <w:ind w:left="1184" w:right="153" w:hanging="336"/>
        <w:jc w:val="both"/>
        <w:rPr>
          <w:sz w:val="22"/>
        </w:rPr>
      </w:pPr>
      <w:r>
        <w:rPr>
          <w:b/>
          <w:sz w:val="22"/>
        </w:rPr>
        <w:t>AUTHORIZE </w:t>
      </w:r>
      <w:r>
        <w:rPr>
          <w:sz w:val="22"/>
        </w:rPr>
        <w:t>the African Group at the United Nations to submit to the next Conference of the council of Ministers a complete report of the Council of</w:t>
      </w:r>
      <w:r>
        <w:rPr>
          <w:spacing w:val="80"/>
          <w:sz w:val="22"/>
        </w:rPr>
        <w:t> </w:t>
      </w:r>
      <w:r>
        <w:rPr>
          <w:sz w:val="22"/>
        </w:rPr>
        <w:t>Ministers</w:t>
      </w:r>
      <w:r>
        <w:rPr>
          <w:spacing w:val="23"/>
          <w:sz w:val="22"/>
        </w:rPr>
        <w:t> </w:t>
      </w:r>
      <w:r>
        <w:rPr>
          <w:sz w:val="22"/>
        </w:rPr>
        <w:t>a</w:t>
      </w:r>
      <w:r>
        <w:rPr>
          <w:spacing w:val="23"/>
          <w:sz w:val="22"/>
        </w:rPr>
        <w:t> </w:t>
      </w:r>
      <w:r>
        <w:rPr>
          <w:sz w:val="22"/>
        </w:rPr>
        <w:t>complete</w:t>
      </w:r>
      <w:r>
        <w:rPr>
          <w:spacing w:val="23"/>
          <w:sz w:val="22"/>
        </w:rPr>
        <w:t> </w:t>
      </w:r>
      <w:r>
        <w:rPr>
          <w:sz w:val="22"/>
        </w:rPr>
        <w:t>report</w:t>
      </w:r>
      <w:r>
        <w:rPr>
          <w:spacing w:val="23"/>
          <w:sz w:val="22"/>
        </w:rPr>
        <w:t> </w:t>
      </w:r>
      <w:r>
        <w:rPr>
          <w:sz w:val="22"/>
        </w:rPr>
        <w:t>on</w:t>
      </w:r>
      <w:r>
        <w:rPr>
          <w:spacing w:val="23"/>
          <w:sz w:val="22"/>
        </w:rPr>
        <w:t> </w:t>
      </w:r>
      <w:r>
        <w:rPr>
          <w:sz w:val="22"/>
        </w:rPr>
        <w:t>the</w:t>
      </w:r>
      <w:r>
        <w:rPr>
          <w:spacing w:val="23"/>
          <w:sz w:val="22"/>
        </w:rPr>
        <w:t> </w:t>
      </w:r>
      <w:r>
        <w:rPr>
          <w:sz w:val="22"/>
        </w:rPr>
        <w:t>nature and extent of commercial relations, and of</w:t>
      </w:r>
      <w:r>
        <w:rPr>
          <w:spacing w:val="36"/>
          <w:sz w:val="22"/>
        </w:rPr>
        <w:t> </w:t>
      </w:r>
      <w:r>
        <w:rPr>
          <w:sz w:val="22"/>
        </w:rPr>
        <w:t>private</w:t>
      </w:r>
      <w:r>
        <w:rPr>
          <w:spacing w:val="36"/>
          <w:sz w:val="22"/>
        </w:rPr>
        <w:t> </w:t>
      </w:r>
      <w:r>
        <w:rPr>
          <w:sz w:val="22"/>
        </w:rPr>
        <w:t>and</w:t>
      </w:r>
      <w:r>
        <w:rPr>
          <w:spacing w:val="37"/>
          <w:sz w:val="22"/>
        </w:rPr>
        <w:t> </w:t>
      </w:r>
      <w:r>
        <w:rPr>
          <w:sz w:val="22"/>
        </w:rPr>
        <w:t>public</w:t>
      </w:r>
      <w:r>
        <w:rPr>
          <w:spacing w:val="36"/>
          <w:sz w:val="22"/>
        </w:rPr>
        <w:t> </w:t>
      </w:r>
      <w:r>
        <w:rPr>
          <w:sz w:val="22"/>
        </w:rPr>
        <w:t>investments</w:t>
      </w:r>
      <w:r>
        <w:rPr>
          <w:spacing w:val="36"/>
          <w:sz w:val="22"/>
        </w:rPr>
        <w:t> </w:t>
      </w:r>
      <w:r>
        <w:rPr>
          <w:sz w:val="22"/>
        </w:rPr>
        <w:t>between</w:t>
      </w:r>
      <w:r>
        <w:rPr>
          <w:spacing w:val="36"/>
          <w:sz w:val="22"/>
        </w:rPr>
        <w:t> </w:t>
      </w:r>
      <w:r>
        <w:rPr>
          <w:sz w:val="22"/>
        </w:rPr>
        <w:t>South</w:t>
      </w:r>
      <w:r>
        <w:rPr>
          <w:spacing w:val="36"/>
          <w:sz w:val="22"/>
        </w:rPr>
        <w:t> </w:t>
      </w:r>
      <w:r>
        <w:rPr>
          <w:sz w:val="22"/>
        </w:rPr>
        <w:t>African</w:t>
      </w:r>
      <w:r>
        <w:rPr>
          <w:spacing w:val="36"/>
          <w:sz w:val="22"/>
        </w:rPr>
        <w:t> </w:t>
      </w:r>
      <w:r>
        <w:rPr>
          <w:sz w:val="22"/>
        </w:rPr>
        <w:t>States</w:t>
      </w:r>
      <w:r>
        <w:rPr>
          <w:spacing w:val="36"/>
          <w:sz w:val="22"/>
        </w:rPr>
        <w:t> </w:t>
      </w:r>
      <w:r>
        <w:rPr>
          <w:sz w:val="22"/>
        </w:rPr>
        <w:t>and</w:t>
      </w:r>
      <w:r>
        <w:rPr>
          <w:spacing w:val="37"/>
          <w:sz w:val="22"/>
        </w:rPr>
        <w:t> </w:t>
      </w:r>
      <w:r>
        <w:rPr>
          <w:sz w:val="22"/>
        </w:rPr>
        <w:t>other</w:t>
      </w:r>
      <w:r>
        <w:rPr>
          <w:spacing w:val="37"/>
          <w:sz w:val="22"/>
        </w:rPr>
        <w:t> </w:t>
      </w:r>
      <w:r>
        <w:rPr>
          <w:sz w:val="22"/>
        </w:rPr>
        <w:t>states on the one hand, and between African States and these partners of the South</w:t>
      </w:r>
      <w:r>
        <w:rPr>
          <w:spacing w:val="80"/>
          <w:w w:val="150"/>
          <w:sz w:val="22"/>
        </w:rPr>
        <w:t> </w:t>
      </w:r>
      <w:r>
        <w:rPr>
          <w:sz w:val="22"/>
        </w:rPr>
        <w:t>African Government on the other.</w:t>
      </w:r>
    </w:p>
    <w:sectPr>
      <w:headerReference w:type="default" r:id="rId6"/>
      <w:pgSz w:w="12240" w:h="15840"/>
      <w:pgMar w:header="701" w:footer="0" w:top="94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4.920013pt;margin-top:34.068241pt;width:74.75pt;height:14.5pt;mso-position-horizontal-relative:page;mso-position-vertical-relative:page;z-index:-15766528" type="#_x0000_t202" id="docshape1" filled="false" stroked="false">
          <v:textbox inset="0,0,0,0">
            <w:txbxContent>
              <w:p>
                <w:pPr>
                  <w:pStyle w:val="BodyText"/>
                  <w:spacing w:before="15"/>
                  <w:ind w:left="20"/>
                </w:pPr>
                <w:r>
                  <w:rPr/>
                  <w:t>CM/Res.</w:t>
                </w:r>
                <w:r>
                  <w:rPr>
                    <w:spacing w:val="15"/>
                  </w:rPr>
                  <w:t> </w:t>
                </w:r>
                <w:r>
                  <w:rPr/>
                  <w:t>13</w:t>
                </w:r>
                <w:r>
                  <w:rPr>
                    <w:spacing w:val="16"/>
                  </w:rPr>
                  <w:t> </w:t>
                </w:r>
                <w:r>
                  <w:rPr>
                    <w:spacing w:val="-4"/>
                  </w:rPr>
                  <w:t>(II)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920013pt;margin-top:34.068241pt;width:74.75pt;height:14.5pt;mso-position-horizontal-relative:page;mso-position-vertical-relative:page;z-index:-15766016" type="#_x0000_t202" id="docshape2" filled="false" stroked="false">
          <v:textbox inset="0,0,0,0">
            <w:txbxContent>
              <w:p>
                <w:pPr>
                  <w:pStyle w:val="BodyText"/>
                  <w:spacing w:before="15"/>
                  <w:ind w:left="20"/>
                </w:pPr>
                <w:r>
                  <w:rPr/>
                  <w:t>CM/Res.</w:t>
                </w:r>
                <w:r>
                  <w:rPr>
                    <w:spacing w:val="15"/>
                  </w:rPr>
                  <w:t> </w:t>
                </w:r>
                <w:r>
                  <w:rPr/>
                  <w:t>11</w:t>
                </w:r>
                <w:r>
                  <w:rPr>
                    <w:spacing w:val="16"/>
                  </w:rPr>
                  <w:t> </w:t>
                </w:r>
                <w:r>
                  <w:rPr>
                    <w:spacing w:val="-4"/>
                  </w:rPr>
                  <w:t>(II)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6"/>
      <w:ind w:left="2702" w:right="2687"/>
      <w:jc w:val="center"/>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4" w:right="144"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AND RECOMMENDATIONS OF THE SECOND ORDINARY SESSION OF THE COUNCIL OF MINISTERS HELD IN LAGOS, NIGERIA, FROM 24 TO 29 FEBRUARY 1964</dc:title>
  <dcterms:created xsi:type="dcterms:W3CDTF">2023-06-06T12:52:58Z</dcterms:created>
  <dcterms:modified xsi:type="dcterms:W3CDTF">2023-06-06T12:52:58Z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