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4281" w14:textId="77777777" w:rsidR="00FE4ABB" w:rsidRDefault="00FE4ABB" w:rsidP="00FE4ABB">
      <w:pPr>
        <w:widowControl w:val="0"/>
        <w:autoSpaceDE w:val="0"/>
        <w:autoSpaceDN w:val="0"/>
        <w:adjustRightInd w:val="0"/>
        <w:spacing w:after="0" w:line="360" w:lineRule="auto"/>
        <w:jc w:val="both"/>
        <w:rPr>
          <w:rFonts w:ascii="Arial" w:eastAsia="MS Mincho" w:hAnsi="Arial" w:cs="Arial"/>
          <w:szCs w:val="24"/>
          <w:lang w:val="fr-FR"/>
        </w:rPr>
      </w:pPr>
    </w:p>
    <w:tbl>
      <w:tblPr>
        <w:tblpPr w:leftFromText="180" w:rightFromText="180" w:vertAnchor="page" w:horzAnchor="margin" w:tblpX="-190" w:tblpY="805"/>
        <w:tblW w:w="99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48"/>
        <w:gridCol w:w="1969"/>
        <w:gridCol w:w="3768"/>
      </w:tblGrid>
      <w:tr w:rsidR="00FE4ABB" w:rsidRPr="00510C1C" w14:paraId="592DA90C" w14:textId="77777777" w:rsidTr="00563846">
        <w:trPr>
          <w:cantSplit/>
          <w:trHeight w:val="1517"/>
        </w:trPr>
        <w:tc>
          <w:tcPr>
            <w:tcW w:w="4248" w:type="dxa"/>
            <w:tcBorders>
              <w:top w:val="single" w:sz="4" w:space="0" w:color="auto"/>
              <w:left w:val="single" w:sz="4" w:space="0" w:color="auto"/>
              <w:bottom w:val="single" w:sz="4" w:space="0" w:color="auto"/>
              <w:right w:val="single" w:sz="4" w:space="0" w:color="auto"/>
            </w:tcBorders>
          </w:tcPr>
          <w:p w14:paraId="7FF85C97" w14:textId="77777777" w:rsidR="00FE4ABB" w:rsidRPr="00510C1C" w:rsidRDefault="00FE4ABB" w:rsidP="00563846">
            <w:pPr>
              <w:keepNext/>
              <w:spacing w:before="240" w:after="240"/>
              <w:contextualSpacing/>
              <w:jc w:val="both"/>
              <w:outlineLvl w:val="0"/>
              <w:rPr>
                <w:rFonts w:ascii="Arial" w:hAnsi="Arial" w:cs="Arial"/>
                <w:b/>
                <w:bCs/>
                <w:sz w:val="18"/>
                <w:szCs w:val="28"/>
                <w:lang w:val="fr-FR"/>
              </w:rPr>
            </w:pPr>
          </w:p>
          <w:p w14:paraId="760514D9" w14:textId="77777777" w:rsidR="00FE4ABB" w:rsidRPr="00510C1C" w:rsidRDefault="00FE4ABB" w:rsidP="00563846">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AFRICAN UNION</w:t>
            </w:r>
          </w:p>
          <w:p w14:paraId="3BFDBCBF" w14:textId="77777777" w:rsidR="00FE4ABB" w:rsidRPr="00510C1C" w:rsidRDefault="00FE4ABB" w:rsidP="00563846">
            <w:pPr>
              <w:keepNext/>
              <w:jc w:val="center"/>
              <w:outlineLvl w:val="3"/>
              <w:rPr>
                <w:rFonts w:ascii="Arial" w:hAnsi="Arial" w:cs="Arial"/>
                <w:b/>
                <w:bCs/>
                <w:sz w:val="20"/>
                <w:szCs w:val="28"/>
                <w:lang w:val="fr-FR"/>
              </w:rPr>
            </w:pPr>
          </w:p>
        </w:tc>
        <w:tc>
          <w:tcPr>
            <w:tcW w:w="1969" w:type="dxa"/>
            <w:vMerge w:val="restart"/>
            <w:tcBorders>
              <w:top w:val="single" w:sz="4" w:space="0" w:color="auto"/>
              <w:left w:val="single" w:sz="4" w:space="0" w:color="auto"/>
              <w:bottom w:val="single" w:sz="4" w:space="0" w:color="auto"/>
              <w:right w:val="single" w:sz="4" w:space="0" w:color="auto"/>
            </w:tcBorders>
          </w:tcPr>
          <w:p w14:paraId="103EC53B" w14:textId="77777777" w:rsidR="00FE4ABB" w:rsidRPr="00510C1C" w:rsidRDefault="00FE4ABB" w:rsidP="00563846">
            <w:pPr>
              <w:spacing w:before="240" w:after="240"/>
              <w:contextualSpacing/>
              <w:jc w:val="both"/>
              <w:rPr>
                <w:rFonts w:ascii="Arial" w:hAnsi="Arial" w:cs="Arial"/>
                <w:sz w:val="28"/>
                <w:szCs w:val="28"/>
                <w:lang w:eastAsia="fr-FR"/>
              </w:rPr>
            </w:pPr>
            <w:r w:rsidRPr="00510C1C">
              <w:rPr>
                <w:rFonts w:ascii="Arial" w:hAnsi="Arial" w:cs="Arial"/>
                <w:noProof/>
                <w:sz w:val="28"/>
                <w:szCs w:val="28"/>
                <w:lang w:val="en-US"/>
              </w:rPr>
              <w:drawing>
                <wp:anchor distT="0" distB="0" distL="114300" distR="114300" simplePos="0" relativeHeight="251660288" behindDoc="0" locked="0" layoutInCell="1" allowOverlap="1" wp14:anchorId="741E02C4" wp14:editId="3E5D0088">
                  <wp:simplePos x="0" y="0"/>
                  <wp:positionH relativeFrom="column">
                    <wp:posOffset>75565</wp:posOffset>
                  </wp:positionH>
                  <wp:positionV relativeFrom="paragraph">
                    <wp:posOffset>306070</wp:posOffset>
                  </wp:positionV>
                  <wp:extent cx="1043940" cy="1043940"/>
                  <wp:effectExtent l="0" t="0" r="3810" b="3810"/>
                  <wp:wrapThrough wrapText="bothSides">
                    <wp:wrapPolygon edited="0">
                      <wp:start x="0" y="0"/>
                      <wp:lineTo x="0" y="21285"/>
                      <wp:lineTo x="21285" y="21285"/>
                      <wp:lineTo x="21285" y="0"/>
                      <wp:lineTo x="0" y="0"/>
                    </wp:wrapPolygon>
                  </wp:wrapThrough>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113BE" w14:textId="77777777" w:rsidR="00FE4ABB" w:rsidRPr="00510C1C" w:rsidRDefault="00FE4ABB" w:rsidP="00563846">
            <w:pPr>
              <w:spacing w:before="240" w:after="240"/>
              <w:contextualSpacing/>
              <w:jc w:val="both"/>
              <w:rPr>
                <w:rFonts w:ascii="Arial" w:hAnsi="Arial" w:cs="Arial"/>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36FF396A" w14:textId="77777777" w:rsidR="00FE4ABB" w:rsidRPr="00510C1C" w:rsidRDefault="00FE4ABB" w:rsidP="00563846">
            <w:pPr>
              <w:keepNext/>
              <w:spacing w:before="240" w:after="240"/>
              <w:contextualSpacing/>
              <w:jc w:val="both"/>
              <w:outlineLvl w:val="0"/>
              <w:rPr>
                <w:rFonts w:ascii="Arial" w:hAnsi="Arial" w:cs="Arial"/>
                <w:b/>
                <w:bCs/>
                <w:sz w:val="36"/>
                <w:szCs w:val="28"/>
                <w:lang w:val="fr-FR"/>
              </w:rPr>
            </w:pPr>
          </w:p>
          <w:p w14:paraId="784A65BB" w14:textId="77777777" w:rsidR="00FE4ABB" w:rsidRPr="00510C1C" w:rsidRDefault="00FE4ABB" w:rsidP="00563846">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UNION AFRICAINE</w:t>
            </w:r>
          </w:p>
        </w:tc>
      </w:tr>
      <w:tr w:rsidR="00FE4ABB" w:rsidRPr="00510C1C" w14:paraId="62B4EA6C" w14:textId="77777777" w:rsidTr="00563846">
        <w:trPr>
          <w:cantSplit/>
          <w:trHeight w:val="1238"/>
        </w:trPr>
        <w:tc>
          <w:tcPr>
            <w:tcW w:w="4248" w:type="dxa"/>
            <w:tcBorders>
              <w:top w:val="single" w:sz="4" w:space="0" w:color="auto"/>
              <w:left w:val="single" w:sz="4" w:space="0" w:color="auto"/>
              <w:bottom w:val="single" w:sz="4" w:space="0" w:color="auto"/>
              <w:right w:val="single" w:sz="4" w:space="0" w:color="auto"/>
            </w:tcBorders>
            <w:hideMark/>
          </w:tcPr>
          <w:p w14:paraId="47BB23C6" w14:textId="77777777" w:rsidR="00FE4ABB" w:rsidRPr="00510C1C" w:rsidRDefault="009B2829" w:rsidP="00563846">
            <w:pPr>
              <w:spacing w:before="240" w:after="240"/>
              <w:contextualSpacing/>
              <w:jc w:val="center"/>
              <w:rPr>
                <w:rFonts w:ascii="Arial" w:hAnsi="Arial" w:cs="Arial"/>
                <w:sz w:val="28"/>
                <w:szCs w:val="28"/>
                <w:lang w:eastAsia="fr-FR"/>
              </w:rPr>
            </w:pPr>
            <w:r>
              <w:rPr>
                <w:rFonts w:ascii="Arial" w:hAnsi="Arial" w:cs="Arial"/>
                <w:noProof/>
                <w:sz w:val="28"/>
                <w:szCs w:val="28"/>
                <w:lang w:val="en-US"/>
              </w:rPr>
              <w:object w:dxaOrig="1440" w:dyaOrig="1440" w14:anchorId="428D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35pt;margin-top:16.65pt;width:93.9pt;height:29.4pt;z-index:251659264;mso-position-horizontal-relative:text;mso-position-vertical-relative:text;mso-width-relative:page;mso-height-relative:page">
                  <v:imagedata r:id="rId9" o:title=""/>
                </v:shape>
                <o:OLEObject Type="Embed" ProgID="PBrush" ShapeID="_x0000_s1026" DrawAspect="Content" ObjectID="_1633421067" r:id="rId10"/>
              </w:object>
            </w: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1584AC7" w14:textId="77777777" w:rsidR="00FE4ABB" w:rsidRPr="00510C1C" w:rsidRDefault="00FE4ABB" w:rsidP="00563846">
            <w:pPr>
              <w:spacing w:before="240" w:after="240"/>
              <w:contextualSpacing/>
              <w:jc w:val="both"/>
              <w:rPr>
                <w:rFonts w:ascii="Arial" w:hAnsi="Arial" w:cs="Arial"/>
                <w:sz w:val="28"/>
                <w:szCs w:val="28"/>
                <w:lang w:eastAsia="fr-FR"/>
              </w:rPr>
            </w:pPr>
          </w:p>
        </w:tc>
        <w:tc>
          <w:tcPr>
            <w:tcW w:w="3768" w:type="dxa"/>
            <w:tcBorders>
              <w:top w:val="single" w:sz="4" w:space="0" w:color="auto"/>
              <w:left w:val="single" w:sz="4" w:space="0" w:color="auto"/>
              <w:bottom w:val="single" w:sz="4" w:space="0" w:color="auto"/>
              <w:right w:val="single" w:sz="4" w:space="0" w:color="auto"/>
            </w:tcBorders>
          </w:tcPr>
          <w:p w14:paraId="6339AB0D" w14:textId="77777777" w:rsidR="00FE4ABB" w:rsidRPr="00510C1C" w:rsidRDefault="00FE4ABB" w:rsidP="00563846">
            <w:pPr>
              <w:spacing w:before="240" w:after="240"/>
              <w:contextualSpacing/>
              <w:jc w:val="both"/>
              <w:rPr>
                <w:rFonts w:ascii="Arial" w:hAnsi="Arial" w:cs="Arial"/>
                <w:b/>
                <w:bCs/>
                <w:szCs w:val="28"/>
                <w:lang w:eastAsia="fr-FR"/>
              </w:rPr>
            </w:pPr>
          </w:p>
          <w:p w14:paraId="36640E2E" w14:textId="77777777" w:rsidR="00FE4ABB" w:rsidRPr="00510C1C" w:rsidRDefault="00FE4ABB" w:rsidP="00563846">
            <w:pPr>
              <w:keepNext/>
              <w:spacing w:before="240" w:after="240"/>
              <w:contextualSpacing/>
              <w:jc w:val="center"/>
              <w:outlineLvl w:val="3"/>
              <w:rPr>
                <w:rFonts w:ascii="Arial" w:hAnsi="Arial" w:cs="Arial"/>
                <w:b/>
                <w:bCs/>
                <w:sz w:val="28"/>
                <w:szCs w:val="28"/>
                <w:lang w:val="fr-FR"/>
              </w:rPr>
            </w:pPr>
            <w:r w:rsidRPr="00510C1C">
              <w:rPr>
                <w:rFonts w:ascii="Arial" w:hAnsi="Arial" w:cs="Arial"/>
                <w:b/>
                <w:bCs/>
                <w:sz w:val="28"/>
                <w:szCs w:val="28"/>
                <w:lang w:val="fr-FR"/>
              </w:rPr>
              <w:t>UNIÃO AFRICANA</w:t>
            </w:r>
          </w:p>
          <w:p w14:paraId="3780C93D" w14:textId="77777777" w:rsidR="00FE4ABB" w:rsidRPr="00510C1C" w:rsidRDefault="00FE4ABB" w:rsidP="00563846">
            <w:pPr>
              <w:keepNext/>
              <w:spacing w:before="240" w:after="240"/>
              <w:contextualSpacing/>
              <w:jc w:val="center"/>
              <w:outlineLvl w:val="3"/>
              <w:rPr>
                <w:rFonts w:ascii="Arial" w:hAnsi="Arial" w:cs="Arial"/>
                <w:b/>
                <w:bCs/>
                <w:sz w:val="18"/>
                <w:szCs w:val="28"/>
                <w:lang w:val="fr-FR"/>
              </w:rPr>
            </w:pPr>
          </w:p>
        </w:tc>
      </w:tr>
      <w:tr w:rsidR="00FE4ABB" w:rsidRPr="00F666F8" w14:paraId="6C3CD0AA" w14:textId="77777777" w:rsidTr="00563846">
        <w:trPr>
          <w:cantSplit/>
          <w:trHeight w:val="1193"/>
        </w:trPr>
        <w:tc>
          <w:tcPr>
            <w:tcW w:w="9985" w:type="dxa"/>
            <w:gridSpan w:val="3"/>
            <w:tcBorders>
              <w:top w:val="single" w:sz="4" w:space="0" w:color="auto"/>
              <w:left w:val="single" w:sz="4" w:space="0" w:color="auto"/>
              <w:bottom w:val="single" w:sz="4" w:space="0" w:color="auto"/>
              <w:right w:val="single" w:sz="4" w:space="0" w:color="auto"/>
            </w:tcBorders>
            <w:vAlign w:val="center"/>
            <w:hideMark/>
          </w:tcPr>
          <w:p w14:paraId="51921317" w14:textId="77777777" w:rsidR="00FE4ABB" w:rsidRPr="00510C1C" w:rsidRDefault="00FE4ABB" w:rsidP="00563846">
            <w:pPr>
              <w:contextualSpacing/>
              <w:jc w:val="center"/>
              <w:rPr>
                <w:rFonts w:ascii="Arial" w:hAnsi="Arial" w:cs="Arial"/>
                <w:b/>
                <w:sz w:val="4"/>
                <w:szCs w:val="28"/>
                <w:lang w:val="en-ZW"/>
              </w:rPr>
            </w:pPr>
          </w:p>
          <w:p w14:paraId="6BF33BBC" w14:textId="77777777" w:rsidR="00FE4ABB" w:rsidRPr="00510C1C" w:rsidRDefault="00FE4ABB" w:rsidP="00563846">
            <w:pPr>
              <w:spacing w:before="240" w:after="240"/>
              <w:contextualSpacing/>
              <w:jc w:val="center"/>
              <w:rPr>
                <w:rFonts w:ascii="Arial" w:hAnsi="Arial" w:cs="Arial"/>
                <w:b/>
                <w:sz w:val="28"/>
                <w:szCs w:val="28"/>
                <w:lang w:val="en-ZW" w:eastAsia="fr-FR"/>
              </w:rPr>
            </w:pPr>
            <w:r w:rsidRPr="00510C1C">
              <w:rPr>
                <w:rFonts w:ascii="Arial" w:hAnsi="Arial" w:cs="Arial"/>
                <w:b/>
                <w:sz w:val="28"/>
                <w:szCs w:val="28"/>
                <w:lang w:val="en-ZW"/>
              </w:rPr>
              <w:t>AFRICAN COURT ON HUMAN AND PEOPLES’ RIGHTS</w:t>
            </w:r>
          </w:p>
          <w:p w14:paraId="6D478817" w14:textId="77777777" w:rsidR="00FE4ABB" w:rsidRPr="00510C1C" w:rsidRDefault="00FE4ABB" w:rsidP="00563846">
            <w:pPr>
              <w:spacing w:before="240" w:after="240"/>
              <w:contextualSpacing/>
              <w:jc w:val="center"/>
              <w:rPr>
                <w:rFonts w:ascii="Arial" w:hAnsi="Arial" w:cs="Arial"/>
                <w:b/>
                <w:sz w:val="28"/>
                <w:szCs w:val="28"/>
                <w:lang w:val="fr-FR"/>
              </w:rPr>
            </w:pPr>
            <w:r w:rsidRPr="00510C1C">
              <w:rPr>
                <w:rFonts w:ascii="Arial" w:hAnsi="Arial" w:cs="Arial"/>
                <w:b/>
                <w:sz w:val="28"/>
                <w:szCs w:val="28"/>
                <w:lang w:val="fr-FR"/>
              </w:rPr>
              <w:t>COUR AFRICAINE DES DROITS DE L’HOMME ET DES PEUPLES</w:t>
            </w:r>
          </w:p>
        </w:tc>
      </w:tr>
    </w:tbl>
    <w:p w14:paraId="54DC5AA1" w14:textId="77777777" w:rsidR="00FE4ABB" w:rsidRPr="00492910" w:rsidRDefault="00FE4ABB" w:rsidP="00492910">
      <w:pPr>
        <w:widowControl w:val="0"/>
        <w:autoSpaceDE w:val="0"/>
        <w:autoSpaceDN w:val="0"/>
        <w:adjustRightInd w:val="0"/>
        <w:spacing w:after="0" w:line="360" w:lineRule="auto"/>
        <w:jc w:val="both"/>
        <w:rPr>
          <w:rFonts w:ascii="Arial" w:eastAsia="MS Mincho" w:hAnsi="Arial" w:cs="Arial"/>
          <w:szCs w:val="24"/>
          <w:lang w:val="fr-FR"/>
        </w:rPr>
      </w:pPr>
    </w:p>
    <w:p w14:paraId="11C5ADE5" w14:textId="42984ED9" w:rsidR="005B7209" w:rsidRDefault="00813484"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 xml:space="preserve">APPLICATION FOR </w:t>
      </w:r>
      <w:r w:rsidR="009C757B" w:rsidRPr="008B7882">
        <w:rPr>
          <w:rFonts w:ascii="Arial" w:eastAsia="MS Mincho" w:hAnsi="Arial" w:cs="Times New Roman"/>
          <w:b/>
          <w:sz w:val="28"/>
          <w:szCs w:val="28"/>
        </w:rPr>
        <w:t xml:space="preserve">REVIEW </w:t>
      </w:r>
    </w:p>
    <w:p w14:paraId="71B3D968" w14:textId="67ACEAA1" w:rsidR="00492910" w:rsidRPr="008B7882" w:rsidRDefault="00813484" w:rsidP="0016320B">
      <w:pPr>
        <w:spacing w:after="0" w:line="360" w:lineRule="auto"/>
        <w:jc w:val="center"/>
        <w:rPr>
          <w:rFonts w:ascii="Arial" w:eastAsia="MS Mincho" w:hAnsi="Arial" w:cs="Times New Roman"/>
          <w:b/>
          <w:sz w:val="28"/>
          <w:szCs w:val="28"/>
          <w:lang w:val="en-US"/>
        </w:rPr>
      </w:pPr>
      <w:r w:rsidRPr="008B7882">
        <w:rPr>
          <w:rFonts w:ascii="Arial" w:eastAsia="MS Mincho" w:hAnsi="Arial" w:cs="Times New Roman"/>
          <w:b/>
          <w:sz w:val="28"/>
          <w:szCs w:val="28"/>
        </w:rPr>
        <w:t>BY</w:t>
      </w:r>
      <w:r w:rsidR="00012039" w:rsidRPr="008B7882">
        <w:rPr>
          <w:rFonts w:ascii="Arial" w:eastAsia="MS Mincho" w:hAnsi="Arial" w:cs="Times New Roman"/>
          <w:b/>
          <w:sz w:val="28"/>
          <w:szCs w:val="28"/>
        </w:rPr>
        <w:t xml:space="preserve"> </w:t>
      </w:r>
      <w:r w:rsidRPr="008B7882">
        <w:rPr>
          <w:rFonts w:ascii="Arial" w:eastAsia="MS Mincho" w:hAnsi="Arial" w:cs="Times New Roman"/>
          <w:b/>
          <w:sz w:val="28"/>
          <w:szCs w:val="28"/>
          <w:lang w:val="en-US"/>
        </w:rPr>
        <w:t>WILSON BARNGETUNY KOIMET AND 119 OTHERS</w:t>
      </w:r>
    </w:p>
    <w:p w14:paraId="32EB8E4F" w14:textId="1D19A269" w:rsidR="009C757B" w:rsidRPr="008B7882" w:rsidRDefault="005B7209" w:rsidP="0016320B">
      <w:pPr>
        <w:spacing w:after="0" w:line="360" w:lineRule="auto"/>
        <w:jc w:val="center"/>
        <w:rPr>
          <w:rFonts w:ascii="Arial" w:eastAsia="MS Mincho" w:hAnsi="Arial" w:cs="Times New Roman"/>
          <w:b/>
          <w:sz w:val="28"/>
          <w:szCs w:val="28"/>
          <w:lang w:val="en-US"/>
        </w:rPr>
      </w:pPr>
      <w:r>
        <w:rPr>
          <w:rFonts w:ascii="Arial" w:eastAsia="MS Mincho" w:hAnsi="Arial" w:cs="Times New Roman"/>
          <w:b/>
          <w:sz w:val="28"/>
          <w:szCs w:val="28"/>
          <w:lang w:val="en-US"/>
        </w:rPr>
        <w:t>OF THE ORDER OF 4 JULY 2019</w:t>
      </w:r>
    </w:p>
    <w:p w14:paraId="676F3E90" w14:textId="77777777" w:rsidR="0011788C" w:rsidRPr="008B7882" w:rsidRDefault="0011788C" w:rsidP="0016320B">
      <w:pPr>
        <w:spacing w:after="0" w:line="360" w:lineRule="auto"/>
        <w:jc w:val="center"/>
        <w:rPr>
          <w:rFonts w:ascii="Arial" w:eastAsia="MS Mincho" w:hAnsi="Arial" w:cs="Times New Roman"/>
          <w:b/>
          <w:sz w:val="28"/>
          <w:szCs w:val="28"/>
          <w:lang w:val="en-US"/>
        </w:rPr>
      </w:pPr>
    </w:p>
    <w:p w14:paraId="09CAD640" w14:textId="458A04FB" w:rsidR="00813484" w:rsidRPr="008B7882" w:rsidRDefault="00813484"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lang w:val="en-US"/>
        </w:rPr>
        <w:t>IN THE MATTER OF</w:t>
      </w:r>
    </w:p>
    <w:p w14:paraId="3F71C171" w14:textId="77777777" w:rsidR="00492910" w:rsidRPr="008B7882" w:rsidRDefault="00492910"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AFRICAN COMMISSION ON HUMAN AND PEOPLES’ RIGHTS</w:t>
      </w:r>
    </w:p>
    <w:p w14:paraId="0A16D3C3" w14:textId="77777777" w:rsidR="00492910" w:rsidRPr="008B7882" w:rsidRDefault="00492910" w:rsidP="0016320B">
      <w:pPr>
        <w:spacing w:after="0" w:line="360" w:lineRule="auto"/>
        <w:jc w:val="center"/>
        <w:rPr>
          <w:rFonts w:ascii="Arial" w:eastAsia="MS Mincho" w:hAnsi="Arial" w:cs="Times New Roman"/>
          <w:b/>
          <w:sz w:val="28"/>
          <w:szCs w:val="28"/>
        </w:rPr>
      </w:pPr>
    </w:p>
    <w:p w14:paraId="28C68CCC" w14:textId="77777777" w:rsidR="00492910" w:rsidRPr="008B7882" w:rsidRDefault="00492910"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V</w:t>
      </w:r>
    </w:p>
    <w:p w14:paraId="64144759" w14:textId="77777777" w:rsidR="00492910" w:rsidRPr="008B7882" w:rsidRDefault="00492910" w:rsidP="0016320B">
      <w:pPr>
        <w:spacing w:after="0" w:line="360" w:lineRule="auto"/>
        <w:jc w:val="center"/>
        <w:rPr>
          <w:rFonts w:ascii="Arial" w:eastAsia="MS Mincho" w:hAnsi="Arial" w:cs="Times New Roman"/>
          <w:b/>
          <w:sz w:val="28"/>
          <w:szCs w:val="28"/>
        </w:rPr>
      </w:pPr>
    </w:p>
    <w:p w14:paraId="790207FB" w14:textId="77777777" w:rsidR="00492910" w:rsidRPr="008B7882" w:rsidRDefault="00492910"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REPUBLIC OF KENYA</w:t>
      </w:r>
    </w:p>
    <w:p w14:paraId="18563926" w14:textId="77777777" w:rsidR="00813484" w:rsidRDefault="00813484" w:rsidP="00813484">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APPLICATION No. 006/2012</w:t>
      </w:r>
    </w:p>
    <w:p w14:paraId="6528164D" w14:textId="4FDA75FC" w:rsidR="005B7209" w:rsidRPr="008B7882" w:rsidRDefault="005B7209" w:rsidP="00813484">
      <w:pPr>
        <w:spacing w:after="0" w:line="360" w:lineRule="auto"/>
        <w:jc w:val="center"/>
        <w:rPr>
          <w:rFonts w:ascii="Arial" w:eastAsia="MS Mincho" w:hAnsi="Arial" w:cs="Times New Roman"/>
          <w:b/>
          <w:sz w:val="28"/>
          <w:szCs w:val="28"/>
        </w:rPr>
      </w:pPr>
      <w:r>
        <w:rPr>
          <w:rFonts w:ascii="Arial" w:eastAsia="MS Mincho" w:hAnsi="Arial" w:cs="Times New Roman"/>
          <w:b/>
          <w:sz w:val="28"/>
          <w:szCs w:val="28"/>
        </w:rPr>
        <w:t>(REPARATIONS)</w:t>
      </w:r>
    </w:p>
    <w:p w14:paraId="1ACBC0A7" w14:textId="77777777" w:rsidR="005B7209" w:rsidRDefault="005B7209" w:rsidP="0016320B">
      <w:pPr>
        <w:spacing w:after="0" w:line="360" w:lineRule="auto"/>
        <w:jc w:val="center"/>
        <w:rPr>
          <w:rFonts w:ascii="Arial" w:eastAsia="MS Mincho" w:hAnsi="Arial" w:cs="Times New Roman"/>
          <w:b/>
          <w:sz w:val="28"/>
          <w:szCs w:val="28"/>
        </w:rPr>
      </w:pPr>
    </w:p>
    <w:p w14:paraId="1C28CDF2" w14:textId="4DD7ABE1" w:rsidR="00492910" w:rsidRPr="008B7882" w:rsidRDefault="00733938" w:rsidP="0016320B">
      <w:pPr>
        <w:spacing w:after="0" w:line="360" w:lineRule="auto"/>
        <w:jc w:val="center"/>
        <w:rPr>
          <w:rFonts w:ascii="Arial" w:eastAsia="MS Mincho" w:hAnsi="Arial" w:cs="Times New Roman"/>
          <w:b/>
          <w:sz w:val="28"/>
          <w:szCs w:val="28"/>
        </w:rPr>
      </w:pPr>
      <w:r w:rsidRPr="008B7882">
        <w:rPr>
          <w:rFonts w:ascii="Arial" w:eastAsia="MS Mincho" w:hAnsi="Arial" w:cs="Times New Roman"/>
          <w:b/>
          <w:sz w:val="28"/>
          <w:szCs w:val="28"/>
        </w:rPr>
        <w:t>ORDER</w:t>
      </w:r>
    </w:p>
    <w:p w14:paraId="64718152" w14:textId="7D0C9206" w:rsidR="00492910" w:rsidRPr="008B7882" w:rsidRDefault="001A09C8" w:rsidP="001A09C8">
      <w:pPr>
        <w:spacing w:after="0" w:line="240" w:lineRule="auto"/>
        <w:jc w:val="center"/>
        <w:rPr>
          <w:rFonts w:ascii="Arial" w:eastAsia="MS Mincho" w:hAnsi="Arial" w:cs="Times New Roman"/>
          <w:b/>
          <w:sz w:val="28"/>
          <w:szCs w:val="28"/>
        </w:rPr>
      </w:pPr>
      <w:r>
        <w:rPr>
          <w:rFonts w:ascii="Arial" w:eastAsia="MS Mincho" w:hAnsi="Arial" w:cs="Times New Roman"/>
          <w:b/>
          <w:sz w:val="28"/>
          <w:szCs w:val="28"/>
        </w:rPr>
        <w:t>24</w:t>
      </w:r>
      <w:r w:rsidR="002A17D6" w:rsidRPr="008B7882">
        <w:rPr>
          <w:rFonts w:ascii="Arial" w:eastAsia="MS Mincho" w:hAnsi="Arial" w:cs="Times New Roman"/>
          <w:b/>
          <w:sz w:val="28"/>
          <w:szCs w:val="28"/>
        </w:rPr>
        <w:t xml:space="preserve"> </w:t>
      </w:r>
      <w:r w:rsidR="005B7209">
        <w:rPr>
          <w:rFonts w:ascii="Arial" w:eastAsia="MS Mincho" w:hAnsi="Arial" w:cs="Times New Roman"/>
          <w:b/>
          <w:sz w:val="28"/>
          <w:szCs w:val="28"/>
        </w:rPr>
        <w:t>OCTOBER</w:t>
      </w:r>
      <w:r w:rsidR="005B7209" w:rsidRPr="008B7882">
        <w:rPr>
          <w:rFonts w:ascii="Arial" w:eastAsia="MS Mincho" w:hAnsi="Arial" w:cs="Times New Roman"/>
          <w:b/>
          <w:sz w:val="28"/>
          <w:szCs w:val="28"/>
        </w:rPr>
        <w:t xml:space="preserve"> </w:t>
      </w:r>
      <w:r w:rsidR="00543ECC" w:rsidRPr="008B7882">
        <w:rPr>
          <w:rFonts w:ascii="Arial" w:eastAsia="MS Mincho" w:hAnsi="Arial" w:cs="Times New Roman"/>
          <w:b/>
          <w:sz w:val="28"/>
          <w:szCs w:val="28"/>
        </w:rPr>
        <w:t>2019</w:t>
      </w:r>
    </w:p>
    <w:p w14:paraId="53FC5478" w14:textId="77777777" w:rsidR="00F666F8" w:rsidRDefault="00F666F8">
      <w:pPr>
        <w:rPr>
          <w:rFonts w:ascii="Arial" w:eastAsia="MS Mincho" w:hAnsi="Arial" w:cs="Times New Roman"/>
          <w:b/>
          <w:szCs w:val="24"/>
        </w:rPr>
        <w:sectPr w:rsidR="00F666F8" w:rsidSect="00F666F8">
          <w:footerReference w:type="default" r:id="rId11"/>
          <w:pgSz w:w="12240" w:h="15840"/>
          <w:pgMar w:top="1440" w:right="1440" w:bottom="1440" w:left="1440" w:header="720" w:footer="720" w:gutter="0"/>
          <w:pgNumType w:start="1"/>
          <w:cols w:space="720"/>
          <w:titlePg/>
          <w:docGrid w:linePitch="360"/>
        </w:sectPr>
      </w:pPr>
    </w:p>
    <w:p w14:paraId="1BA51AAF" w14:textId="77777777" w:rsidR="00DE514A" w:rsidRPr="00543E14" w:rsidRDefault="00DE514A" w:rsidP="00543E14">
      <w:pPr>
        <w:spacing w:line="360" w:lineRule="auto"/>
        <w:jc w:val="center"/>
        <w:rPr>
          <w:rFonts w:ascii="Arial" w:eastAsia="MS Mincho" w:hAnsi="Arial" w:cs="Times New Roman"/>
          <w:b/>
          <w:szCs w:val="24"/>
        </w:rPr>
      </w:pPr>
      <w:r w:rsidRPr="00543E14">
        <w:rPr>
          <w:rFonts w:ascii="Arial" w:eastAsia="MS Mincho" w:hAnsi="Arial" w:cs="Times New Roman"/>
          <w:b/>
          <w:szCs w:val="24"/>
        </w:rPr>
        <w:lastRenderedPageBreak/>
        <w:t>TABLE OF CONTENTS</w:t>
      </w:r>
    </w:p>
    <w:sdt>
      <w:sdtPr>
        <w:rPr>
          <w:rFonts w:ascii="Leelawadee UI Semilight" w:eastAsiaTheme="minorHAnsi" w:hAnsi="Leelawadee UI Semilight" w:cs="Leelawadee UI Semilight"/>
          <w:color w:val="auto"/>
          <w:sz w:val="24"/>
          <w:szCs w:val="22"/>
          <w:lang w:val="en-GB"/>
        </w:rPr>
        <w:id w:val="221488280"/>
        <w:docPartObj>
          <w:docPartGallery w:val="Table of Contents"/>
          <w:docPartUnique/>
        </w:docPartObj>
      </w:sdtPr>
      <w:sdtEndPr>
        <w:rPr>
          <w:bCs/>
          <w:noProof/>
        </w:rPr>
      </w:sdtEndPr>
      <w:sdtContent>
        <w:p w14:paraId="27FD5B75" w14:textId="77777777" w:rsidR="00543E14" w:rsidRPr="00A22BCC" w:rsidRDefault="00543E14">
          <w:pPr>
            <w:pStyle w:val="TOCHeading"/>
          </w:pPr>
        </w:p>
        <w:p w14:paraId="28DAAC55" w14:textId="77777777" w:rsidR="001A09C8" w:rsidRPr="001A09C8" w:rsidRDefault="00543E14">
          <w:pPr>
            <w:pStyle w:val="TOC1"/>
            <w:tabs>
              <w:tab w:val="left" w:pos="440"/>
              <w:tab w:val="right" w:leader="dot" w:pos="9350"/>
            </w:tabs>
            <w:rPr>
              <w:rFonts w:asciiTheme="minorHAnsi" w:eastAsiaTheme="minorEastAsia" w:hAnsiTheme="minorHAnsi" w:cstheme="minorBidi"/>
              <w:noProof/>
              <w:sz w:val="22"/>
              <w:lang w:val="en-US"/>
            </w:rPr>
          </w:pPr>
          <w:r w:rsidRPr="001A09C8">
            <w:rPr>
              <w:bCs/>
              <w:noProof/>
            </w:rPr>
            <w:fldChar w:fldCharType="begin"/>
          </w:r>
          <w:r w:rsidRPr="001A09C8">
            <w:rPr>
              <w:bCs/>
              <w:noProof/>
            </w:rPr>
            <w:instrText xml:space="preserve"> TOC \o "1-3" \h \z \u </w:instrText>
          </w:r>
          <w:r w:rsidRPr="001A09C8">
            <w:rPr>
              <w:bCs/>
              <w:noProof/>
            </w:rPr>
            <w:fldChar w:fldCharType="separate"/>
          </w:r>
          <w:hyperlink w:anchor="_Toc22808156" w:history="1">
            <w:r w:rsidR="001A09C8" w:rsidRPr="001A09C8">
              <w:rPr>
                <w:rStyle w:val="Hyperlink"/>
                <w:rFonts w:ascii="Arial" w:eastAsia="MS Mincho" w:hAnsi="Arial" w:cs="Arial"/>
                <w:noProof/>
              </w:rPr>
              <w:t>I.</w:t>
            </w:r>
            <w:r w:rsidR="001A09C8" w:rsidRPr="001A09C8">
              <w:rPr>
                <w:rFonts w:asciiTheme="minorHAnsi" w:eastAsiaTheme="minorEastAsia" w:hAnsiTheme="minorHAnsi" w:cstheme="minorBidi"/>
                <w:noProof/>
                <w:sz w:val="22"/>
                <w:lang w:val="en-US"/>
              </w:rPr>
              <w:tab/>
            </w:r>
            <w:r w:rsidR="001A09C8" w:rsidRPr="001A09C8">
              <w:rPr>
                <w:rStyle w:val="Hyperlink"/>
                <w:rFonts w:ascii="Arial" w:eastAsia="MS Mincho" w:hAnsi="Arial" w:cs="Arial"/>
                <w:noProof/>
              </w:rPr>
              <w:t>BRIEF BACKGOUND</w:t>
            </w:r>
            <w:r w:rsidR="001A09C8" w:rsidRPr="001A09C8">
              <w:rPr>
                <w:noProof/>
                <w:webHidden/>
              </w:rPr>
              <w:tab/>
            </w:r>
            <w:r w:rsidR="001A09C8" w:rsidRPr="001A09C8">
              <w:rPr>
                <w:noProof/>
                <w:webHidden/>
              </w:rPr>
              <w:fldChar w:fldCharType="begin"/>
            </w:r>
            <w:r w:rsidR="001A09C8" w:rsidRPr="001A09C8">
              <w:rPr>
                <w:noProof/>
                <w:webHidden/>
              </w:rPr>
              <w:instrText xml:space="preserve"> PAGEREF _Toc22808156 \h </w:instrText>
            </w:r>
            <w:r w:rsidR="001A09C8" w:rsidRPr="001A09C8">
              <w:rPr>
                <w:noProof/>
                <w:webHidden/>
              </w:rPr>
            </w:r>
            <w:r w:rsidR="001A09C8" w:rsidRPr="001A09C8">
              <w:rPr>
                <w:noProof/>
                <w:webHidden/>
              </w:rPr>
              <w:fldChar w:fldCharType="separate"/>
            </w:r>
            <w:r w:rsidR="001A09C8" w:rsidRPr="001A09C8">
              <w:rPr>
                <w:noProof/>
                <w:webHidden/>
              </w:rPr>
              <w:t>2</w:t>
            </w:r>
            <w:r w:rsidR="001A09C8" w:rsidRPr="001A09C8">
              <w:rPr>
                <w:noProof/>
                <w:webHidden/>
              </w:rPr>
              <w:fldChar w:fldCharType="end"/>
            </w:r>
          </w:hyperlink>
        </w:p>
        <w:p w14:paraId="6811F92A" w14:textId="77777777" w:rsidR="001A09C8" w:rsidRPr="001A09C8" w:rsidRDefault="001A09C8">
          <w:pPr>
            <w:pStyle w:val="TOC1"/>
            <w:tabs>
              <w:tab w:val="left" w:pos="440"/>
              <w:tab w:val="right" w:leader="dot" w:pos="9350"/>
            </w:tabs>
            <w:rPr>
              <w:rFonts w:asciiTheme="minorHAnsi" w:eastAsiaTheme="minorEastAsia" w:hAnsiTheme="minorHAnsi" w:cstheme="minorBidi"/>
              <w:noProof/>
              <w:sz w:val="22"/>
              <w:lang w:val="en-US"/>
            </w:rPr>
          </w:pPr>
          <w:hyperlink w:anchor="_Toc22808157" w:history="1">
            <w:r w:rsidRPr="001A09C8">
              <w:rPr>
                <w:rStyle w:val="Hyperlink"/>
                <w:rFonts w:ascii="Arial" w:eastAsia="MS Mincho" w:hAnsi="Arial" w:cs="Arial"/>
                <w:noProof/>
              </w:rPr>
              <w:t>II.</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SUBJECT MATTER OF THE APPLICATION</w:t>
            </w:r>
            <w:r w:rsidRPr="001A09C8">
              <w:rPr>
                <w:noProof/>
                <w:webHidden/>
              </w:rPr>
              <w:tab/>
            </w:r>
            <w:r w:rsidRPr="001A09C8">
              <w:rPr>
                <w:noProof/>
                <w:webHidden/>
              </w:rPr>
              <w:fldChar w:fldCharType="begin"/>
            </w:r>
            <w:r w:rsidRPr="001A09C8">
              <w:rPr>
                <w:noProof/>
                <w:webHidden/>
              </w:rPr>
              <w:instrText xml:space="preserve"> PAGEREF _Toc22808157 \h </w:instrText>
            </w:r>
            <w:r w:rsidRPr="001A09C8">
              <w:rPr>
                <w:noProof/>
                <w:webHidden/>
              </w:rPr>
            </w:r>
            <w:r w:rsidRPr="001A09C8">
              <w:rPr>
                <w:noProof/>
                <w:webHidden/>
              </w:rPr>
              <w:fldChar w:fldCharType="separate"/>
            </w:r>
            <w:r w:rsidRPr="001A09C8">
              <w:rPr>
                <w:noProof/>
                <w:webHidden/>
              </w:rPr>
              <w:t>3</w:t>
            </w:r>
            <w:r w:rsidRPr="001A09C8">
              <w:rPr>
                <w:noProof/>
                <w:webHidden/>
              </w:rPr>
              <w:fldChar w:fldCharType="end"/>
            </w:r>
          </w:hyperlink>
        </w:p>
        <w:p w14:paraId="1490BA9E" w14:textId="77777777" w:rsidR="001A09C8" w:rsidRPr="001A09C8" w:rsidRDefault="001A09C8">
          <w:pPr>
            <w:pStyle w:val="TOC2"/>
            <w:tabs>
              <w:tab w:val="left" w:pos="880"/>
              <w:tab w:val="right" w:leader="dot" w:pos="9350"/>
            </w:tabs>
            <w:rPr>
              <w:rFonts w:asciiTheme="minorHAnsi" w:eastAsiaTheme="minorEastAsia" w:hAnsiTheme="minorHAnsi" w:cstheme="minorBidi"/>
              <w:noProof/>
              <w:sz w:val="22"/>
              <w:lang w:val="en-US"/>
            </w:rPr>
          </w:pPr>
          <w:hyperlink w:anchor="_Toc22808158" w:history="1">
            <w:r w:rsidRPr="001A09C8">
              <w:rPr>
                <w:rStyle w:val="Hyperlink"/>
                <w:rFonts w:ascii="Arial" w:eastAsia="MS Mincho" w:hAnsi="Arial" w:cs="Arial"/>
                <w:noProof/>
              </w:rPr>
              <w:t>A.</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Facts of the matter</w:t>
            </w:r>
            <w:r w:rsidRPr="001A09C8">
              <w:rPr>
                <w:noProof/>
                <w:webHidden/>
              </w:rPr>
              <w:tab/>
            </w:r>
            <w:r w:rsidRPr="001A09C8">
              <w:rPr>
                <w:noProof/>
                <w:webHidden/>
              </w:rPr>
              <w:fldChar w:fldCharType="begin"/>
            </w:r>
            <w:r w:rsidRPr="001A09C8">
              <w:rPr>
                <w:noProof/>
                <w:webHidden/>
              </w:rPr>
              <w:instrText xml:space="preserve"> PAGEREF _Toc22808158 \h </w:instrText>
            </w:r>
            <w:r w:rsidRPr="001A09C8">
              <w:rPr>
                <w:noProof/>
                <w:webHidden/>
              </w:rPr>
            </w:r>
            <w:r w:rsidRPr="001A09C8">
              <w:rPr>
                <w:noProof/>
                <w:webHidden/>
              </w:rPr>
              <w:fldChar w:fldCharType="separate"/>
            </w:r>
            <w:r w:rsidRPr="001A09C8">
              <w:rPr>
                <w:noProof/>
                <w:webHidden/>
              </w:rPr>
              <w:t>3</w:t>
            </w:r>
            <w:r w:rsidRPr="001A09C8">
              <w:rPr>
                <w:noProof/>
                <w:webHidden/>
              </w:rPr>
              <w:fldChar w:fldCharType="end"/>
            </w:r>
          </w:hyperlink>
        </w:p>
        <w:p w14:paraId="0F540AA1" w14:textId="77777777" w:rsidR="001A09C8" w:rsidRPr="001A09C8" w:rsidRDefault="001A09C8">
          <w:pPr>
            <w:pStyle w:val="TOC2"/>
            <w:tabs>
              <w:tab w:val="left" w:pos="880"/>
              <w:tab w:val="right" w:leader="dot" w:pos="9350"/>
            </w:tabs>
            <w:rPr>
              <w:rFonts w:asciiTheme="minorHAnsi" w:eastAsiaTheme="minorEastAsia" w:hAnsiTheme="minorHAnsi" w:cstheme="minorBidi"/>
              <w:noProof/>
              <w:sz w:val="22"/>
              <w:lang w:val="en-US"/>
            </w:rPr>
          </w:pPr>
          <w:hyperlink w:anchor="_Toc22808159" w:history="1">
            <w:r w:rsidRPr="001A09C8">
              <w:rPr>
                <w:rStyle w:val="Hyperlink"/>
                <w:rFonts w:ascii="Arial" w:eastAsia="MS Mincho" w:hAnsi="Arial" w:cs="Arial"/>
                <w:noProof/>
              </w:rPr>
              <w:t>B.</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The Applicants’ prayers</w:t>
            </w:r>
            <w:r w:rsidRPr="001A09C8">
              <w:rPr>
                <w:noProof/>
                <w:webHidden/>
              </w:rPr>
              <w:tab/>
            </w:r>
            <w:r w:rsidRPr="001A09C8">
              <w:rPr>
                <w:noProof/>
                <w:webHidden/>
              </w:rPr>
              <w:fldChar w:fldCharType="begin"/>
            </w:r>
            <w:r w:rsidRPr="001A09C8">
              <w:rPr>
                <w:noProof/>
                <w:webHidden/>
              </w:rPr>
              <w:instrText xml:space="preserve"> PAGEREF _Toc22808159 \h </w:instrText>
            </w:r>
            <w:r w:rsidRPr="001A09C8">
              <w:rPr>
                <w:noProof/>
                <w:webHidden/>
              </w:rPr>
            </w:r>
            <w:r w:rsidRPr="001A09C8">
              <w:rPr>
                <w:noProof/>
                <w:webHidden/>
              </w:rPr>
              <w:fldChar w:fldCharType="separate"/>
            </w:r>
            <w:r w:rsidRPr="001A09C8">
              <w:rPr>
                <w:noProof/>
                <w:webHidden/>
              </w:rPr>
              <w:t>3</w:t>
            </w:r>
            <w:r w:rsidRPr="001A09C8">
              <w:rPr>
                <w:noProof/>
                <w:webHidden/>
              </w:rPr>
              <w:fldChar w:fldCharType="end"/>
            </w:r>
          </w:hyperlink>
        </w:p>
        <w:p w14:paraId="2628840D" w14:textId="77777777" w:rsidR="001A09C8" w:rsidRPr="001A09C8" w:rsidRDefault="001A09C8">
          <w:pPr>
            <w:pStyle w:val="TOC1"/>
            <w:tabs>
              <w:tab w:val="left" w:pos="660"/>
              <w:tab w:val="right" w:leader="dot" w:pos="9350"/>
            </w:tabs>
            <w:rPr>
              <w:rFonts w:asciiTheme="minorHAnsi" w:eastAsiaTheme="minorEastAsia" w:hAnsiTheme="minorHAnsi" w:cstheme="minorBidi"/>
              <w:noProof/>
              <w:sz w:val="22"/>
              <w:lang w:val="en-US"/>
            </w:rPr>
          </w:pPr>
          <w:hyperlink w:anchor="_Toc22808160" w:history="1">
            <w:r w:rsidRPr="001A09C8">
              <w:rPr>
                <w:rStyle w:val="Hyperlink"/>
                <w:rFonts w:ascii="Arial" w:eastAsia="MS Mincho" w:hAnsi="Arial" w:cs="Arial"/>
                <w:noProof/>
              </w:rPr>
              <w:t>III.</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ON THE REQUEST FOR REVIEW OF THE COURT’S ORDER</w:t>
            </w:r>
            <w:r w:rsidRPr="001A09C8">
              <w:rPr>
                <w:noProof/>
                <w:webHidden/>
              </w:rPr>
              <w:tab/>
            </w:r>
            <w:r w:rsidRPr="001A09C8">
              <w:rPr>
                <w:noProof/>
                <w:webHidden/>
              </w:rPr>
              <w:fldChar w:fldCharType="begin"/>
            </w:r>
            <w:r w:rsidRPr="001A09C8">
              <w:rPr>
                <w:noProof/>
                <w:webHidden/>
              </w:rPr>
              <w:instrText xml:space="preserve"> PAGEREF _Toc22808160 \h </w:instrText>
            </w:r>
            <w:r w:rsidRPr="001A09C8">
              <w:rPr>
                <w:noProof/>
                <w:webHidden/>
              </w:rPr>
            </w:r>
            <w:r w:rsidRPr="001A09C8">
              <w:rPr>
                <w:noProof/>
                <w:webHidden/>
              </w:rPr>
              <w:fldChar w:fldCharType="separate"/>
            </w:r>
            <w:r w:rsidRPr="001A09C8">
              <w:rPr>
                <w:noProof/>
                <w:webHidden/>
              </w:rPr>
              <w:t>4</w:t>
            </w:r>
            <w:r w:rsidRPr="001A09C8">
              <w:rPr>
                <w:noProof/>
                <w:webHidden/>
              </w:rPr>
              <w:fldChar w:fldCharType="end"/>
            </w:r>
          </w:hyperlink>
        </w:p>
        <w:p w14:paraId="7B5EBE16" w14:textId="77777777" w:rsidR="001A09C8" w:rsidRPr="001A09C8" w:rsidRDefault="001A09C8">
          <w:pPr>
            <w:pStyle w:val="TOC1"/>
            <w:tabs>
              <w:tab w:val="left" w:pos="660"/>
              <w:tab w:val="right" w:leader="dot" w:pos="9350"/>
            </w:tabs>
            <w:rPr>
              <w:rFonts w:asciiTheme="minorHAnsi" w:eastAsiaTheme="minorEastAsia" w:hAnsiTheme="minorHAnsi" w:cstheme="minorBidi"/>
              <w:noProof/>
              <w:sz w:val="22"/>
              <w:lang w:val="en-US"/>
            </w:rPr>
          </w:pPr>
          <w:hyperlink w:anchor="_Toc22808161" w:history="1">
            <w:r w:rsidRPr="001A09C8">
              <w:rPr>
                <w:rStyle w:val="Hyperlink"/>
                <w:rFonts w:ascii="Arial" w:eastAsia="MS Mincho" w:hAnsi="Arial" w:cs="Arial"/>
                <w:noProof/>
              </w:rPr>
              <w:t>IV.</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COSTS</w:t>
            </w:r>
            <w:r w:rsidRPr="001A09C8">
              <w:rPr>
                <w:noProof/>
                <w:webHidden/>
              </w:rPr>
              <w:tab/>
            </w:r>
            <w:r w:rsidRPr="001A09C8">
              <w:rPr>
                <w:noProof/>
                <w:webHidden/>
              </w:rPr>
              <w:fldChar w:fldCharType="begin"/>
            </w:r>
            <w:r w:rsidRPr="001A09C8">
              <w:rPr>
                <w:noProof/>
                <w:webHidden/>
              </w:rPr>
              <w:instrText xml:space="preserve"> PAGEREF _Toc22808161 \h </w:instrText>
            </w:r>
            <w:r w:rsidRPr="001A09C8">
              <w:rPr>
                <w:noProof/>
                <w:webHidden/>
              </w:rPr>
            </w:r>
            <w:r w:rsidRPr="001A09C8">
              <w:rPr>
                <w:noProof/>
                <w:webHidden/>
              </w:rPr>
              <w:fldChar w:fldCharType="separate"/>
            </w:r>
            <w:r w:rsidRPr="001A09C8">
              <w:rPr>
                <w:noProof/>
                <w:webHidden/>
              </w:rPr>
              <w:t>6</w:t>
            </w:r>
            <w:r w:rsidRPr="001A09C8">
              <w:rPr>
                <w:noProof/>
                <w:webHidden/>
              </w:rPr>
              <w:fldChar w:fldCharType="end"/>
            </w:r>
          </w:hyperlink>
        </w:p>
        <w:p w14:paraId="7CAF4A40" w14:textId="77777777" w:rsidR="001A09C8" w:rsidRPr="001A09C8" w:rsidRDefault="001A09C8">
          <w:pPr>
            <w:pStyle w:val="TOC1"/>
            <w:tabs>
              <w:tab w:val="left" w:pos="660"/>
              <w:tab w:val="right" w:leader="dot" w:pos="9350"/>
            </w:tabs>
            <w:rPr>
              <w:rFonts w:asciiTheme="minorHAnsi" w:eastAsiaTheme="minorEastAsia" w:hAnsiTheme="minorHAnsi" w:cstheme="minorBidi"/>
              <w:noProof/>
              <w:sz w:val="22"/>
              <w:lang w:val="en-US"/>
            </w:rPr>
          </w:pPr>
          <w:hyperlink w:anchor="_Toc22808162" w:history="1">
            <w:r w:rsidRPr="001A09C8">
              <w:rPr>
                <w:rStyle w:val="Hyperlink"/>
                <w:rFonts w:ascii="Arial" w:eastAsia="MS Mincho" w:hAnsi="Arial" w:cs="Arial"/>
                <w:noProof/>
              </w:rPr>
              <w:t>V.</w:t>
            </w:r>
            <w:r w:rsidRPr="001A09C8">
              <w:rPr>
                <w:rFonts w:asciiTheme="minorHAnsi" w:eastAsiaTheme="minorEastAsia" w:hAnsiTheme="minorHAnsi" w:cstheme="minorBidi"/>
                <w:noProof/>
                <w:sz w:val="22"/>
                <w:lang w:val="en-US"/>
              </w:rPr>
              <w:tab/>
            </w:r>
            <w:r w:rsidRPr="001A09C8">
              <w:rPr>
                <w:rStyle w:val="Hyperlink"/>
                <w:rFonts w:ascii="Arial" w:eastAsia="MS Mincho" w:hAnsi="Arial" w:cs="Arial"/>
                <w:noProof/>
              </w:rPr>
              <w:t>OPERATIVE PART</w:t>
            </w:r>
            <w:r w:rsidRPr="001A09C8">
              <w:rPr>
                <w:noProof/>
                <w:webHidden/>
              </w:rPr>
              <w:tab/>
            </w:r>
            <w:r w:rsidRPr="001A09C8">
              <w:rPr>
                <w:noProof/>
                <w:webHidden/>
              </w:rPr>
              <w:fldChar w:fldCharType="begin"/>
            </w:r>
            <w:r w:rsidRPr="001A09C8">
              <w:rPr>
                <w:noProof/>
                <w:webHidden/>
              </w:rPr>
              <w:instrText xml:space="preserve"> PAGEREF _Toc22808162 \h </w:instrText>
            </w:r>
            <w:r w:rsidRPr="001A09C8">
              <w:rPr>
                <w:noProof/>
                <w:webHidden/>
              </w:rPr>
            </w:r>
            <w:r w:rsidRPr="001A09C8">
              <w:rPr>
                <w:noProof/>
                <w:webHidden/>
              </w:rPr>
              <w:fldChar w:fldCharType="separate"/>
            </w:r>
            <w:r w:rsidRPr="001A09C8">
              <w:rPr>
                <w:noProof/>
                <w:webHidden/>
              </w:rPr>
              <w:t>7</w:t>
            </w:r>
            <w:r w:rsidRPr="001A09C8">
              <w:rPr>
                <w:noProof/>
                <w:webHidden/>
              </w:rPr>
              <w:fldChar w:fldCharType="end"/>
            </w:r>
          </w:hyperlink>
        </w:p>
        <w:p w14:paraId="305E1F34" w14:textId="77777777" w:rsidR="00543E14" w:rsidRPr="001A09C8" w:rsidRDefault="00543E14">
          <w:r w:rsidRPr="001A09C8">
            <w:rPr>
              <w:bCs/>
              <w:noProof/>
            </w:rPr>
            <w:fldChar w:fldCharType="end"/>
          </w:r>
        </w:p>
      </w:sdtContent>
    </w:sdt>
    <w:p w14:paraId="1FC5262D" w14:textId="77777777" w:rsidR="00DE514A" w:rsidRPr="001A09C8" w:rsidRDefault="00DE514A" w:rsidP="00B32C37">
      <w:pPr>
        <w:spacing w:line="360" w:lineRule="auto"/>
        <w:jc w:val="both"/>
        <w:rPr>
          <w:rFonts w:ascii="Arial" w:eastAsia="MS Mincho" w:hAnsi="Arial" w:cs="Times New Roman"/>
          <w:szCs w:val="24"/>
        </w:rPr>
      </w:pPr>
    </w:p>
    <w:p w14:paraId="69564870" w14:textId="77777777" w:rsidR="00DE514A" w:rsidRDefault="00DE514A" w:rsidP="00B32C37">
      <w:pPr>
        <w:spacing w:line="360" w:lineRule="auto"/>
        <w:jc w:val="both"/>
        <w:rPr>
          <w:rFonts w:ascii="Arial" w:eastAsia="MS Mincho" w:hAnsi="Arial" w:cs="Times New Roman"/>
          <w:szCs w:val="24"/>
        </w:rPr>
      </w:pPr>
    </w:p>
    <w:p w14:paraId="2E25E474" w14:textId="77777777" w:rsidR="00543E14" w:rsidRDefault="00543E14" w:rsidP="00B32C37">
      <w:pPr>
        <w:spacing w:line="360" w:lineRule="auto"/>
        <w:jc w:val="both"/>
        <w:rPr>
          <w:rFonts w:ascii="Arial" w:eastAsia="MS Mincho" w:hAnsi="Arial" w:cs="Times New Roman"/>
          <w:szCs w:val="24"/>
        </w:rPr>
      </w:pPr>
    </w:p>
    <w:p w14:paraId="7EBA01F7" w14:textId="77777777" w:rsidR="00543E14" w:rsidRDefault="00543E14" w:rsidP="00B32C37">
      <w:pPr>
        <w:spacing w:line="360" w:lineRule="auto"/>
        <w:jc w:val="both"/>
        <w:rPr>
          <w:rFonts w:ascii="Arial" w:eastAsia="MS Mincho" w:hAnsi="Arial" w:cs="Times New Roman"/>
          <w:szCs w:val="24"/>
        </w:rPr>
      </w:pPr>
    </w:p>
    <w:p w14:paraId="40EA5A0A" w14:textId="77777777" w:rsidR="00DE514A" w:rsidRDefault="00DE514A" w:rsidP="00B32C37">
      <w:pPr>
        <w:spacing w:line="360" w:lineRule="auto"/>
        <w:jc w:val="both"/>
        <w:rPr>
          <w:rFonts w:ascii="Arial" w:eastAsia="MS Mincho" w:hAnsi="Arial" w:cs="Times New Roman"/>
          <w:szCs w:val="24"/>
        </w:rPr>
      </w:pPr>
    </w:p>
    <w:p w14:paraId="798D0E77" w14:textId="77777777" w:rsidR="00DE514A" w:rsidRDefault="00DE514A" w:rsidP="00B32C37">
      <w:pPr>
        <w:spacing w:line="360" w:lineRule="auto"/>
        <w:jc w:val="both"/>
        <w:rPr>
          <w:rFonts w:ascii="Arial" w:eastAsia="MS Mincho" w:hAnsi="Arial" w:cs="Times New Roman"/>
          <w:szCs w:val="24"/>
        </w:rPr>
      </w:pPr>
    </w:p>
    <w:p w14:paraId="6EE2F693" w14:textId="77777777" w:rsidR="00F666F8" w:rsidRDefault="00F666F8">
      <w:pPr>
        <w:rPr>
          <w:rFonts w:ascii="Arial" w:eastAsia="MS Mincho" w:hAnsi="Arial" w:cs="Times New Roman"/>
          <w:szCs w:val="24"/>
        </w:rPr>
        <w:sectPr w:rsidR="00F666F8" w:rsidSect="00F666F8">
          <w:pgSz w:w="12240" w:h="15840"/>
          <w:pgMar w:top="1440" w:right="1440" w:bottom="1440" w:left="1440" w:header="720" w:footer="720" w:gutter="0"/>
          <w:pgNumType w:fmt="lowerRoman" w:start="1"/>
          <w:cols w:space="720"/>
          <w:docGrid w:linePitch="360"/>
        </w:sectPr>
      </w:pPr>
    </w:p>
    <w:p w14:paraId="0E526FA8" w14:textId="38E4492C" w:rsidR="00B875AB" w:rsidRPr="00B875AB" w:rsidRDefault="00B875AB" w:rsidP="00B32C37">
      <w:pPr>
        <w:spacing w:line="360" w:lineRule="auto"/>
        <w:jc w:val="both"/>
        <w:rPr>
          <w:rFonts w:ascii="Arial" w:eastAsia="MS Mincho" w:hAnsi="Arial" w:cs="Times New Roman"/>
          <w:szCs w:val="24"/>
        </w:rPr>
      </w:pPr>
      <w:r w:rsidRPr="00B875AB">
        <w:rPr>
          <w:rFonts w:ascii="Arial" w:eastAsia="MS Mincho" w:hAnsi="Arial" w:cs="Times New Roman"/>
          <w:b/>
          <w:szCs w:val="24"/>
        </w:rPr>
        <w:lastRenderedPageBreak/>
        <w:t xml:space="preserve">The Court composed of: </w:t>
      </w:r>
      <w:proofErr w:type="spellStart"/>
      <w:r w:rsidRPr="00B875AB">
        <w:rPr>
          <w:rFonts w:ascii="Arial" w:eastAsia="MS Mincho" w:hAnsi="Arial" w:cs="Times New Roman"/>
          <w:szCs w:val="24"/>
        </w:rPr>
        <w:t>Rafaâ</w:t>
      </w:r>
      <w:proofErr w:type="spellEnd"/>
      <w:r w:rsidRPr="00B875AB" w:rsidDel="00153C26">
        <w:rPr>
          <w:rFonts w:ascii="Arial" w:eastAsia="MS Mincho" w:hAnsi="Arial" w:cs="Times New Roman"/>
          <w:szCs w:val="24"/>
        </w:rPr>
        <w:t xml:space="preserve"> </w:t>
      </w:r>
      <w:r w:rsidRPr="00B875AB">
        <w:rPr>
          <w:rFonts w:ascii="Arial" w:eastAsia="MS Mincho" w:hAnsi="Arial" w:cs="Times New Roman"/>
          <w:szCs w:val="24"/>
        </w:rPr>
        <w:t xml:space="preserve">BEN ACHOUR, </w:t>
      </w:r>
      <w:proofErr w:type="spellStart"/>
      <w:r w:rsidRPr="00B875AB">
        <w:rPr>
          <w:rFonts w:ascii="Arial" w:eastAsia="MS Mincho" w:hAnsi="Arial" w:cs="Times New Roman"/>
          <w:szCs w:val="24"/>
        </w:rPr>
        <w:t>Ângelo</w:t>
      </w:r>
      <w:proofErr w:type="spellEnd"/>
      <w:r w:rsidRPr="00B875AB">
        <w:rPr>
          <w:rFonts w:ascii="Arial" w:eastAsia="MS Mincho" w:hAnsi="Arial" w:cs="Times New Roman"/>
          <w:szCs w:val="24"/>
        </w:rPr>
        <w:t xml:space="preserve"> V. MATUSSE, M-</w:t>
      </w:r>
      <w:proofErr w:type="spellStart"/>
      <w:r w:rsidRPr="00B875AB">
        <w:rPr>
          <w:rFonts w:ascii="Arial" w:eastAsia="MS Mincho" w:hAnsi="Arial" w:cs="Times New Roman"/>
          <w:szCs w:val="24"/>
        </w:rPr>
        <w:t>Thérèse</w:t>
      </w:r>
      <w:proofErr w:type="spellEnd"/>
      <w:r w:rsidRPr="00B875AB">
        <w:rPr>
          <w:rFonts w:ascii="Arial" w:eastAsia="MS Mincho" w:hAnsi="Arial" w:cs="Times New Roman"/>
          <w:szCs w:val="24"/>
        </w:rPr>
        <w:t xml:space="preserve"> MUKAMULISA, Suzanne MENGUE, Tujilane R. CHIZUMILA, Chafika BENSAOULA, Stella I. ANUKAM,</w:t>
      </w:r>
      <w:r w:rsidRPr="00B875AB">
        <w:rPr>
          <w:rFonts w:ascii="Arial" w:eastAsia="MS Mincho" w:hAnsi="Arial" w:cs="Times New Roman"/>
          <w:bCs/>
          <w:szCs w:val="24"/>
        </w:rPr>
        <w:t xml:space="preserve"> Imani D. ABOUD</w:t>
      </w:r>
      <w:r w:rsidR="000F2FCA">
        <w:rPr>
          <w:rFonts w:ascii="Arial" w:eastAsia="MS Mincho" w:hAnsi="Arial" w:cs="Times New Roman"/>
          <w:bCs/>
          <w:szCs w:val="24"/>
        </w:rPr>
        <w:t>:</w:t>
      </w:r>
      <w:r w:rsidRPr="00B875AB">
        <w:rPr>
          <w:rFonts w:ascii="Arial" w:eastAsia="MS Mincho" w:hAnsi="Arial" w:cs="Times New Roman"/>
          <w:szCs w:val="24"/>
        </w:rPr>
        <w:t xml:space="preserve"> Judges and Robert ENO, Registrar.</w:t>
      </w:r>
    </w:p>
    <w:p w14:paraId="0B9244D2" w14:textId="77777777" w:rsidR="00B875AB" w:rsidRPr="00B875AB" w:rsidRDefault="00B875AB" w:rsidP="00B32C37">
      <w:pPr>
        <w:spacing w:line="360" w:lineRule="auto"/>
        <w:jc w:val="both"/>
        <w:rPr>
          <w:rFonts w:ascii="Arial" w:eastAsia="MS Mincho" w:hAnsi="Arial" w:cs="Times New Roman"/>
          <w:szCs w:val="24"/>
        </w:rPr>
      </w:pPr>
    </w:p>
    <w:p w14:paraId="0566D607" w14:textId="77777777" w:rsidR="00B875AB" w:rsidRPr="00B875AB" w:rsidRDefault="00B875AB" w:rsidP="00B32C37">
      <w:pPr>
        <w:spacing w:line="360" w:lineRule="auto"/>
        <w:jc w:val="both"/>
        <w:rPr>
          <w:rFonts w:ascii="Arial" w:eastAsia="MS Mincho" w:hAnsi="Arial" w:cs="Times New Roman"/>
          <w:szCs w:val="24"/>
          <w:lang w:val="en-US"/>
        </w:rPr>
      </w:pPr>
      <w:r w:rsidRPr="00B875AB">
        <w:rPr>
          <w:rFonts w:ascii="Arial" w:eastAsia="MS Mincho" w:hAnsi="Arial" w:cs="Times New Roman"/>
          <w:szCs w:val="24"/>
        </w:rPr>
        <w:t xml:space="preserve">In accordance with Article 22 of the Protocol to the African Charter on Human and Peoples' Rights on the Establishment of an African Court on Human and Peoples' Rights (hereinafter referred to as "the Protocol") and Rule 8 (2) of the Rules of Court (hereinafter referred to as "the Rules"), </w:t>
      </w:r>
      <w:r w:rsidRPr="00B875AB">
        <w:rPr>
          <w:rFonts w:ascii="Arial" w:eastAsia="MS Mincho" w:hAnsi="Arial" w:cs="Times New Roman"/>
          <w:szCs w:val="24"/>
          <w:lang w:val="en-US"/>
        </w:rPr>
        <w:t>Justice Ben KIOKO, Vice President of the Court and a national of Kenya, did not hear the Application.</w:t>
      </w:r>
    </w:p>
    <w:p w14:paraId="552D84B0" w14:textId="77777777" w:rsidR="00B875AB" w:rsidRPr="00B875AB" w:rsidRDefault="00B875AB" w:rsidP="00B32C37">
      <w:pPr>
        <w:spacing w:line="360" w:lineRule="auto"/>
        <w:jc w:val="both"/>
        <w:rPr>
          <w:rFonts w:ascii="Arial" w:eastAsia="MS Mincho" w:hAnsi="Arial" w:cs="Times New Roman"/>
          <w:szCs w:val="24"/>
          <w:lang w:val="en-US"/>
        </w:rPr>
      </w:pPr>
    </w:p>
    <w:p w14:paraId="4E482BFA" w14:textId="7E193150" w:rsidR="00B875AB" w:rsidRPr="007D5F77" w:rsidRDefault="00B875AB" w:rsidP="00B32C37">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 xml:space="preserve">In the </w:t>
      </w:r>
      <w:r w:rsidR="002064DB" w:rsidRPr="007D5F77">
        <w:rPr>
          <w:rFonts w:ascii="Arial" w:eastAsia="MS Mincho" w:hAnsi="Arial" w:cs="Times New Roman"/>
          <w:szCs w:val="24"/>
          <w:lang w:val="en-US"/>
        </w:rPr>
        <w:t>Application</w:t>
      </w:r>
      <w:r w:rsidR="0014387F">
        <w:rPr>
          <w:rFonts w:ascii="Arial" w:eastAsia="MS Mincho" w:hAnsi="Arial" w:cs="Times New Roman"/>
          <w:szCs w:val="24"/>
          <w:lang w:val="en-US"/>
        </w:rPr>
        <w:t xml:space="preserve"> for review of the Order of 4 July 2019</w:t>
      </w:r>
      <w:r w:rsidR="002064DB" w:rsidRPr="007D5F77">
        <w:rPr>
          <w:rFonts w:ascii="Arial" w:eastAsia="MS Mincho" w:hAnsi="Arial" w:cs="Times New Roman"/>
          <w:szCs w:val="24"/>
          <w:lang w:val="en-US"/>
        </w:rPr>
        <w:t xml:space="preserve"> by</w:t>
      </w:r>
      <w:r w:rsidRPr="007D5F77">
        <w:rPr>
          <w:rFonts w:ascii="Arial" w:eastAsia="MS Mincho" w:hAnsi="Arial" w:cs="Times New Roman"/>
          <w:szCs w:val="24"/>
          <w:lang w:val="en-US"/>
        </w:rPr>
        <w:t>:</w:t>
      </w:r>
    </w:p>
    <w:p w14:paraId="52DC065E" w14:textId="5F9ECA88" w:rsidR="002064DB" w:rsidRPr="007D5F77" w:rsidRDefault="002064DB" w:rsidP="009C757B">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 xml:space="preserve">Wilson </w:t>
      </w:r>
      <w:proofErr w:type="spellStart"/>
      <w:r w:rsidRPr="007D5F77">
        <w:rPr>
          <w:rFonts w:ascii="Arial" w:eastAsia="MS Mincho" w:hAnsi="Arial" w:cs="Times New Roman"/>
          <w:szCs w:val="24"/>
          <w:lang w:val="en-US"/>
        </w:rPr>
        <w:t>Barngetuny</w:t>
      </w:r>
      <w:proofErr w:type="spellEnd"/>
      <w:r w:rsidRPr="007D5F77">
        <w:rPr>
          <w:rFonts w:ascii="Arial" w:eastAsia="MS Mincho" w:hAnsi="Arial" w:cs="Times New Roman"/>
          <w:szCs w:val="24"/>
          <w:lang w:val="en-US"/>
        </w:rPr>
        <w:t xml:space="preserve"> KOIMET and 119 others</w:t>
      </w:r>
    </w:p>
    <w:p w14:paraId="7F34F94E" w14:textId="77777777" w:rsidR="002708C6" w:rsidRPr="007D5F77" w:rsidRDefault="002708C6" w:rsidP="002064DB">
      <w:pPr>
        <w:spacing w:line="360" w:lineRule="auto"/>
        <w:jc w:val="both"/>
        <w:rPr>
          <w:rFonts w:ascii="Arial" w:eastAsia="MS Mincho" w:hAnsi="Arial" w:cs="Times New Roman"/>
          <w:szCs w:val="24"/>
          <w:lang w:val="en-US"/>
        </w:rPr>
      </w:pPr>
    </w:p>
    <w:p w14:paraId="5F608348" w14:textId="77777777" w:rsidR="002064DB" w:rsidRPr="007D5F77" w:rsidRDefault="002064DB" w:rsidP="002064DB">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Represented by:</w:t>
      </w:r>
    </w:p>
    <w:p w14:paraId="14993B4C" w14:textId="77777777" w:rsidR="002064DB" w:rsidRPr="007D5F77" w:rsidRDefault="002064DB" w:rsidP="002064DB">
      <w:pPr>
        <w:spacing w:line="360" w:lineRule="auto"/>
        <w:jc w:val="both"/>
        <w:rPr>
          <w:rFonts w:ascii="Arial" w:eastAsia="MS Mincho" w:hAnsi="Arial" w:cs="Times New Roman"/>
          <w:szCs w:val="24"/>
          <w:lang w:val="en-US"/>
        </w:rPr>
      </w:pPr>
    </w:p>
    <w:p w14:paraId="558499CA" w14:textId="77777777" w:rsidR="002064DB" w:rsidRPr="007D5F77" w:rsidRDefault="002064DB" w:rsidP="002064DB">
      <w:pPr>
        <w:spacing w:line="360" w:lineRule="auto"/>
        <w:jc w:val="both"/>
        <w:rPr>
          <w:rFonts w:ascii="Arial" w:eastAsia="MS Mincho" w:hAnsi="Arial" w:cs="Times New Roman"/>
          <w:szCs w:val="24"/>
          <w:lang w:val="en-US"/>
        </w:rPr>
      </w:pPr>
      <w:r w:rsidRPr="007D5F77">
        <w:rPr>
          <w:rFonts w:ascii="Arial" w:eastAsia="MS Mincho" w:hAnsi="Arial" w:cs="Times New Roman"/>
          <w:szCs w:val="24"/>
          <w:lang w:val="en-US"/>
        </w:rPr>
        <w:t>Advocate Bore Peter KIPROTICH, Bore, Malanga &amp; Company, Advocates</w:t>
      </w:r>
    </w:p>
    <w:p w14:paraId="41CC0012" w14:textId="77777777" w:rsidR="00B875AB" w:rsidRPr="007D5F77" w:rsidRDefault="00B875AB" w:rsidP="00B32C37">
      <w:pPr>
        <w:spacing w:line="360" w:lineRule="auto"/>
        <w:jc w:val="both"/>
        <w:rPr>
          <w:rFonts w:ascii="Arial" w:eastAsia="MS Mincho" w:hAnsi="Arial" w:cs="Times New Roman"/>
          <w:szCs w:val="24"/>
          <w:lang w:val="en-US"/>
        </w:rPr>
      </w:pPr>
    </w:p>
    <w:p w14:paraId="2E865749" w14:textId="0C301699" w:rsidR="002064DB" w:rsidRPr="007D5F77" w:rsidRDefault="0014387F" w:rsidP="00B32C37">
      <w:pPr>
        <w:spacing w:line="360" w:lineRule="auto"/>
        <w:jc w:val="both"/>
        <w:rPr>
          <w:rFonts w:ascii="Arial" w:eastAsia="MS Mincho" w:hAnsi="Arial" w:cs="Times New Roman"/>
          <w:szCs w:val="24"/>
          <w:lang w:val="en-US"/>
        </w:rPr>
      </w:pPr>
      <w:r>
        <w:rPr>
          <w:rFonts w:ascii="Arial" w:eastAsia="MS Mincho" w:hAnsi="Arial" w:cs="Times New Roman"/>
          <w:szCs w:val="24"/>
          <w:lang w:val="en-US"/>
        </w:rPr>
        <w:t>I</w:t>
      </w:r>
      <w:r w:rsidR="002064DB" w:rsidRPr="007D5F77">
        <w:rPr>
          <w:rFonts w:ascii="Arial" w:eastAsia="MS Mincho" w:hAnsi="Arial" w:cs="Times New Roman"/>
          <w:szCs w:val="24"/>
          <w:lang w:val="en-US"/>
        </w:rPr>
        <w:t>n the matter of:</w:t>
      </w:r>
    </w:p>
    <w:p w14:paraId="6D32404F" w14:textId="28D7F21B" w:rsidR="007D5F77" w:rsidRDefault="007D5F77">
      <w:pPr>
        <w:rPr>
          <w:rFonts w:ascii="Arial" w:eastAsia="MS Mincho" w:hAnsi="Arial" w:cs="Times New Roman"/>
          <w:szCs w:val="24"/>
          <w:lang w:val="en-US"/>
        </w:rPr>
      </w:pPr>
      <w:r>
        <w:rPr>
          <w:rFonts w:ascii="Arial" w:eastAsia="MS Mincho" w:hAnsi="Arial" w:cs="Times New Roman"/>
          <w:szCs w:val="24"/>
          <w:lang w:val="en-US"/>
        </w:rPr>
        <w:br w:type="page"/>
      </w:r>
    </w:p>
    <w:p w14:paraId="4A2B7BBE"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lastRenderedPageBreak/>
        <w:t>AFRICAN COMMISSION ON HUMAN AND PEOPLES' RIGHTS</w:t>
      </w:r>
    </w:p>
    <w:p w14:paraId="7A589A74" w14:textId="77777777" w:rsidR="00B875AB" w:rsidRPr="00B875AB" w:rsidRDefault="00B875AB" w:rsidP="00FE4ABB">
      <w:pPr>
        <w:spacing w:after="0" w:line="360" w:lineRule="auto"/>
        <w:jc w:val="both"/>
        <w:rPr>
          <w:rFonts w:ascii="Arial" w:eastAsia="MS Mincho" w:hAnsi="Arial" w:cs="Times New Roman"/>
          <w:szCs w:val="24"/>
          <w:lang w:val="en-US"/>
        </w:rPr>
      </w:pPr>
    </w:p>
    <w:p w14:paraId="342A55C5" w14:textId="77777777" w:rsidR="00B875AB" w:rsidRPr="00B875AB" w:rsidRDefault="00B875AB" w:rsidP="00FE4ABB">
      <w:pPr>
        <w:spacing w:after="0" w:line="360" w:lineRule="auto"/>
        <w:jc w:val="both"/>
        <w:rPr>
          <w:rFonts w:ascii="Arial" w:eastAsia="MS Mincho" w:hAnsi="Arial" w:cs="Times New Roman"/>
          <w:szCs w:val="24"/>
          <w:lang w:val="en-US"/>
        </w:rPr>
      </w:pPr>
      <w:proofErr w:type="gramStart"/>
      <w:r w:rsidRPr="00B875AB">
        <w:rPr>
          <w:rFonts w:ascii="Arial" w:eastAsia="MS Mincho" w:hAnsi="Arial" w:cs="Times New Roman"/>
          <w:szCs w:val="24"/>
          <w:lang w:val="en-US"/>
        </w:rPr>
        <w:t>versus</w:t>
      </w:r>
      <w:proofErr w:type="gramEnd"/>
      <w:r w:rsidRPr="00B875AB">
        <w:rPr>
          <w:rFonts w:ascii="Arial" w:eastAsia="MS Mincho" w:hAnsi="Arial" w:cs="Times New Roman"/>
          <w:szCs w:val="24"/>
          <w:lang w:val="en-US"/>
        </w:rPr>
        <w:t xml:space="preserve"> </w:t>
      </w:r>
    </w:p>
    <w:p w14:paraId="57292355" w14:textId="77777777" w:rsidR="00B875AB" w:rsidRPr="00B875AB" w:rsidRDefault="00B875AB" w:rsidP="00FE4ABB">
      <w:pPr>
        <w:spacing w:after="0" w:line="360" w:lineRule="auto"/>
        <w:jc w:val="both"/>
        <w:rPr>
          <w:rFonts w:ascii="Arial" w:eastAsia="MS Mincho" w:hAnsi="Arial" w:cs="Times New Roman"/>
          <w:szCs w:val="24"/>
          <w:lang w:val="en-US"/>
        </w:rPr>
      </w:pPr>
    </w:p>
    <w:p w14:paraId="603D59A1" w14:textId="77777777" w:rsidR="00B875AB" w:rsidRPr="00B875AB" w:rsidRDefault="00B875AB" w:rsidP="00FE4ABB">
      <w:pPr>
        <w:spacing w:after="0" w:line="360" w:lineRule="auto"/>
        <w:jc w:val="both"/>
        <w:rPr>
          <w:rFonts w:ascii="Arial" w:eastAsia="MS Mincho" w:hAnsi="Arial" w:cs="Times New Roman"/>
          <w:szCs w:val="24"/>
          <w:lang w:val="en-US"/>
        </w:rPr>
      </w:pPr>
      <w:r w:rsidRPr="00B875AB">
        <w:rPr>
          <w:rFonts w:ascii="Arial" w:eastAsia="MS Mincho" w:hAnsi="Arial" w:cs="Times New Roman"/>
          <w:szCs w:val="24"/>
          <w:lang w:val="en-US"/>
        </w:rPr>
        <w:t xml:space="preserve">REPUBLIC OF KENYA </w:t>
      </w:r>
    </w:p>
    <w:p w14:paraId="6CF05C72" w14:textId="77777777" w:rsidR="00B875AB" w:rsidRDefault="00B875AB" w:rsidP="00FE4ABB">
      <w:pPr>
        <w:spacing w:after="0" w:line="360" w:lineRule="auto"/>
        <w:jc w:val="both"/>
        <w:rPr>
          <w:rFonts w:ascii="Arial" w:eastAsia="MS Mincho" w:hAnsi="Arial" w:cs="Times New Roman"/>
          <w:szCs w:val="24"/>
          <w:lang w:val="en-US"/>
        </w:rPr>
      </w:pPr>
    </w:p>
    <w:p w14:paraId="5C178057" w14:textId="77777777" w:rsidR="00B875AB" w:rsidRDefault="00B875AB" w:rsidP="00FE4ABB">
      <w:pPr>
        <w:spacing w:after="0" w:line="360" w:lineRule="auto"/>
        <w:jc w:val="both"/>
        <w:rPr>
          <w:rFonts w:ascii="Arial" w:eastAsia="MS Mincho" w:hAnsi="Arial" w:cs="Times New Roman"/>
          <w:szCs w:val="24"/>
          <w:lang w:val="en-US"/>
        </w:rPr>
      </w:pPr>
      <w:proofErr w:type="gramStart"/>
      <w:r w:rsidRPr="00B875AB">
        <w:rPr>
          <w:rFonts w:ascii="Arial" w:eastAsia="MS Mincho" w:hAnsi="Arial" w:cs="Times New Roman"/>
          <w:szCs w:val="24"/>
          <w:lang w:val="en-US"/>
        </w:rPr>
        <w:t>after</w:t>
      </w:r>
      <w:proofErr w:type="gramEnd"/>
      <w:r w:rsidRPr="00B875AB">
        <w:rPr>
          <w:rFonts w:ascii="Arial" w:eastAsia="MS Mincho" w:hAnsi="Arial" w:cs="Times New Roman"/>
          <w:szCs w:val="24"/>
          <w:lang w:val="en-US"/>
        </w:rPr>
        <w:t xml:space="preserve"> deliberation,</w:t>
      </w:r>
    </w:p>
    <w:p w14:paraId="11BC6DFB" w14:textId="77777777" w:rsidR="00155368" w:rsidRPr="00B875AB" w:rsidRDefault="00155368" w:rsidP="00FE4ABB">
      <w:pPr>
        <w:spacing w:after="0" w:line="360" w:lineRule="auto"/>
        <w:jc w:val="both"/>
        <w:rPr>
          <w:rFonts w:ascii="Arial" w:eastAsia="MS Mincho" w:hAnsi="Arial" w:cs="Times New Roman"/>
          <w:szCs w:val="24"/>
          <w:lang w:val="en-US"/>
        </w:rPr>
      </w:pPr>
    </w:p>
    <w:p w14:paraId="0CA37E6C" w14:textId="7E53F10F" w:rsidR="00B875AB" w:rsidRPr="00B875AB" w:rsidRDefault="00B875AB" w:rsidP="00FE4ABB">
      <w:pPr>
        <w:spacing w:after="0" w:line="360" w:lineRule="auto"/>
        <w:jc w:val="both"/>
        <w:rPr>
          <w:rFonts w:ascii="Arial" w:eastAsia="MS Mincho" w:hAnsi="Arial" w:cs="Times New Roman"/>
          <w:i/>
          <w:szCs w:val="24"/>
          <w:lang w:val="en-US"/>
        </w:rPr>
      </w:pPr>
      <w:proofErr w:type="gramStart"/>
      <w:r w:rsidRPr="00B875AB">
        <w:rPr>
          <w:rFonts w:ascii="Arial" w:eastAsia="MS Mincho" w:hAnsi="Arial" w:cs="Times New Roman"/>
          <w:i/>
          <w:szCs w:val="24"/>
          <w:lang w:val="en-US"/>
        </w:rPr>
        <w:t>renders</w:t>
      </w:r>
      <w:proofErr w:type="gramEnd"/>
      <w:r w:rsidRPr="00B875AB">
        <w:rPr>
          <w:rFonts w:ascii="Arial" w:eastAsia="MS Mincho" w:hAnsi="Arial" w:cs="Times New Roman"/>
          <w:i/>
          <w:szCs w:val="24"/>
          <w:lang w:val="en-US"/>
        </w:rPr>
        <w:t xml:space="preserve"> the following </w:t>
      </w:r>
      <w:r w:rsidR="008244B2">
        <w:rPr>
          <w:rFonts w:ascii="Arial" w:eastAsia="MS Mincho" w:hAnsi="Arial" w:cs="Times New Roman"/>
          <w:i/>
          <w:szCs w:val="24"/>
          <w:lang w:val="en-US"/>
        </w:rPr>
        <w:t>Order</w:t>
      </w:r>
      <w:r w:rsidR="00535879">
        <w:rPr>
          <w:rFonts w:ascii="Arial" w:eastAsia="MS Mincho" w:hAnsi="Arial" w:cs="Times New Roman"/>
          <w:i/>
          <w:szCs w:val="24"/>
          <w:lang w:val="en-US"/>
        </w:rPr>
        <w:t>:</w:t>
      </w:r>
      <w:r w:rsidRPr="00B875AB">
        <w:rPr>
          <w:rFonts w:ascii="Arial" w:eastAsia="MS Mincho" w:hAnsi="Arial" w:cs="Times New Roman"/>
          <w:i/>
          <w:szCs w:val="24"/>
          <w:lang w:val="en-US"/>
        </w:rPr>
        <w:t xml:space="preserve"> </w:t>
      </w:r>
    </w:p>
    <w:p w14:paraId="7735AF87" w14:textId="77777777" w:rsidR="00B875AB" w:rsidRDefault="00B875AB" w:rsidP="00FE4ABB">
      <w:pPr>
        <w:spacing w:after="0" w:line="360" w:lineRule="auto"/>
        <w:rPr>
          <w:rFonts w:ascii="Arial" w:eastAsia="MS Mincho" w:hAnsi="Arial" w:cs="Times New Roman"/>
          <w:sz w:val="28"/>
          <w:szCs w:val="28"/>
        </w:rPr>
      </w:pPr>
    </w:p>
    <w:p w14:paraId="4348E630" w14:textId="77777777" w:rsidR="00492910" w:rsidRPr="00DE514A" w:rsidRDefault="00492910" w:rsidP="00DE514A">
      <w:pPr>
        <w:pStyle w:val="Heading1"/>
        <w:numPr>
          <w:ilvl w:val="0"/>
          <w:numId w:val="7"/>
        </w:numPr>
        <w:rPr>
          <w:rFonts w:ascii="Arial" w:eastAsia="MS Mincho" w:hAnsi="Arial" w:cs="Arial"/>
          <w:b/>
          <w:color w:val="auto"/>
          <w:sz w:val="24"/>
          <w:szCs w:val="24"/>
        </w:rPr>
      </w:pPr>
      <w:bookmarkStart w:id="0" w:name="_Toc22808156"/>
      <w:r w:rsidRPr="00DE514A">
        <w:rPr>
          <w:rFonts w:ascii="Arial" w:eastAsia="MS Mincho" w:hAnsi="Arial" w:cs="Arial"/>
          <w:b/>
          <w:color w:val="auto"/>
          <w:sz w:val="24"/>
          <w:szCs w:val="24"/>
        </w:rPr>
        <w:t>BRIEF BACKGOUND</w:t>
      </w:r>
      <w:bookmarkEnd w:id="0"/>
    </w:p>
    <w:p w14:paraId="5EB38771" w14:textId="77777777" w:rsidR="00471A5C" w:rsidRDefault="00471A5C" w:rsidP="00B32C37">
      <w:pPr>
        <w:pStyle w:val="ListParagraph"/>
        <w:spacing w:after="0" w:line="360" w:lineRule="auto"/>
        <w:jc w:val="both"/>
        <w:rPr>
          <w:rFonts w:ascii="Arial" w:eastAsia="MS Mincho" w:hAnsi="Arial" w:cs="Times New Roman"/>
          <w:szCs w:val="24"/>
        </w:rPr>
      </w:pPr>
    </w:p>
    <w:p w14:paraId="2ED52919" w14:textId="15BDFE33" w:rsidR="002064DB" w:rsidRPr="007D5F77" w:rsidRDefault="00B875AB"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On 26 May 2017</w:t>
      </w:r>
      <w:r w:rsidR="00BF116F">
        <w:rPr>
          <w:rFonts w:ascii="Arial" w:eastAsia="MS Mincho" w:hAnsi="Arial" w:cs="Times New Roman"/>
          <w:szCs w:val="24"/>
        </w:rPr>
        <w:t>,</w:t>
      </w:r>
      <w:r>
        <w:rPr>
          <w:rFonts w:ascii="Arial" w:eastAsia="MS Mincho" w:hAnsi="Arial" w:cs="Times New Roman"/>
          <w:szCs w:val="24"/>
        </w:rPr>
        <w:t xml:space="preserve"> the Court delivered its </w:t>
      </w:r>
      <w:r w:rsidR="00DF7811">
        <w:rPr>
          <w:rFonts w:ascii="Arial" w:eastAsia="MS Mincho" w:hAnsi="Arial" w:cs="Times New Roman"/>
          <w:szCs w:val="24"/>
        </w:rPr>
        <w:t xml:space="preserve">judgment on merits in an Application filed by the African Commission on Human and Peoples’ Rights (hereinafter </w:t>
      </w:r>
      <w:r w:rsidR="008244B2">
        <w:rPr>
          <w:rFonts w:ascii="Arial" w:eastAsia="MS Mincho" w:hAnsi="Arial" w:cs="Times New Roman"/>
          <w:szCs w:val="24"/>
        </w:rPr>
        <w:t xml:space="preserve">referred to </w:t>
      </w:r>
      <w:r w:rsidR="008244B2" w:rsidRPr="007D5F77">
        <w:rPr>
          <w:rFonts w:ascii="Arial" w:eastAsia="MS Mincho" w:hAnsi="Arial" w:cs="Times New Roman"/>
          <w:szCs w:val="24"/>
        </w:rPr>
        <w:t xml:space="preserve">as </w:t>
      </w:r>
      <w:r w:rsidR="00DF7811" w:rsidRPr="007D5F77">
        <w:rPr>
          <w:rFonts w:ascii="Arial" w:eastAsia="MS Mincho" w:hAnsi="Arial" w:cs="Times New Roman"/>
          <w:szCs w:val="24"/>
        </w:rPr>
        <w:t xml:space="preserve">“the </w:t>
      </w:r>
      <w:r w:rsidR="002064DB" w:rsidRPr="007D5F77">
        <w:rPr>
          <w:rFonts w:ascii="Arial" w:eastAsia="MS Mincho" w:hAnsi="Arial" w:cs="Times New Roman"/>
          <w:szCs w:val="24"/>
        </w:rPr>
        <w:t>Commission</w:t>
      </w:r>
      <w:r w:rsidR="00DF7811" w:rsidRPr="007D5F77">
        <w:rPr>
          <w:rFonts w:ascii="Arial" w:eastAsia="MS Mincho" w:hAnsi="Arial" w:cs="Times New Roman"/>
          <w:szCs w:val="24"/>
        </w:rPr>
        <w:t>”) against the Republic of Kenya (hereinafter referred to as “the Respondent</w:t>
      </w:r>
      <w:r w:rsidR="00431D3D" w:rsidRPr="007D5F77">
        <w:rPr>
          <w:rFonts w:ascii="Arial" w:eastAsia="MS Mincho" w:hAnsi="Arial" w:cs="Times New Roman"/>
          <w:szCs w:val="24"/>
        </w:rPr>
        <w:t xml:space="preserve"> State</w:t>
      </w:r>
      <w:r w:rsidR="00DF7811" w:rsidRPr="007D5F77">
        <w:rPr>
          <w:rFonts w:ascii="Arial" w:eastAsia="MS Mincho" w:hAnsi="Arial" w:cs="Times New Roman"/>
          <w:szCs w:val="24"/>
        </w:rPr>
        <w:t xml:space="preserve">”). </w:t>
      </w:r>
      <w:r w:rsidR="003669C4" w:rsidRPr="007D5F77">
        <w:rPr>
          <w:rFonts w:ascii="Arial" w:eastAsia="MS Mincho" w:hAnsi="Arial" w:cs="Times New Roman"/>
          <w:szCs w:val="24"/>
        </w:rPr>
        <w:t>In its judgment</w:t>
      </w:r>
      <w:r w:rsidR="00A45724" w:rsidRPr="007D5F77">
        <w:rPr>
          <w:rFonts w:ascii="Arial" w:eastAsia="MS Mincho" w:hAnsi="Arial" w:cs="Times New Roman"/>
          <w:szCs w:val="24"/>
        </w:rPr>
        <w:t>,</w:t>
      </w:r>
      <w:r w:rsidR="003669C4" w:rsidRPr="007D5F77">
        <w:rPr>
          <w:rFonts w:ascii="Arial" w:eastAsia="MS Mincho" w:hAnsi="Arial" w:cs="Times New Roman"/>
          <w:szCs w:val="24"/>
        </w:rPr>
        <w:t xml:space="preserve"> the Court found that the Respondent State had violated</w:t>
      </w:r>
      <w:r w:rsidR="00A45724" w:rsidRPr="007D5F77">
        <w:rPr>
          <w:rFonts w:ascii="Arial" w:eastAsia="MS Mincho" w:hAnsi="Arial" w:cs="Times New Roman"/>
          <w:szCs w:val="24"/>
        </w:rPr>
        <w:t xml:space="preserve"> Articles 1, 2, 8, 14, 17(2) and (3), 21 and 22</w:t>
      </w:r>
      <w:r w:rsidR="007305B6" w:rsidRPr="007D5F77">
        <w:rPr>
          <w:rFonts w:ascii="Arial" w:eastAsia="MS Mincho" w:hAnsi="Arial" w:cs="Times New Roman"/>
          <w:szCs w:val="24"/>
        </w:rPr>
        <w:t xml:space="preserve"> of the African Charter on Human and Peoples’ Rights (hereinafter referred to as “the Charter”)</w:t>
      </w:r>
      <w:r w:rsidR="00A45724" w:rsidRPr="007D5F77">
        <w:rPr>
          <w:rFonts w:ascii="Arial" w:eastAsia="MS Mincho" w:hAnsi="Arial" w:cs="Times New Roman"/>
          <w:szCs w:val="24"/>
        </w:rPr>
        <w:t xml:space="preserve"> in its relations with the </w:t>
      </w:r>
      <w:proofErr w:type="spellStart"/>
      <w:r w:rsidR="00A45724" w:rsidRPr="007D5F77">
        <w:rPr>
          <w:rFonts w:ascii="Arial" w:eastAsia="MS Mincho" w:hAnsi="Arial" w:cs="Times New Roman"/>
          <w:szCs w:val="24"/>
        </w:rPr>
        <w:t>Ogiek</w:t>
      </w:r>
      <w:proofErr w:type="spellEnd"/>
      <w:r w:rsidR="00A45724" w:rsidRPr="007D5F77">
        <w:rPr>
          <w:rFonts w:ascii="Arial" w:eastAsia="MS Mincho" w:hAnsi="Arial" w:cs="Times New Roman"/>
          <w:szCs w:val="24"/>
        </w:rPr>
        <w:t xml:space="preserve"> </w:t>
      </w:r>
      <w:r w:rsidR="009216E3" w:rsidRPr="007D5F77">
        <w:rPr>
          <w:rFonts w:ascii="Arial" w:eastAsia="MS Mincho" w:hAnsi="Arial" w:cs="Times New Roman"/>
          <w:szCs w:val="24"/>
        </w:rPr>
        <w:t>C</w:t>
      </w:r>
      <w:r w:rsidR="00A45724" w:rsidRPr="007D5F77">
        <w:rPr>
          <w:rFonts w:ascii="Arial" w:eastAsia="MS Mincho" w:hAnsi="Arial" w:cs="Times New Roman"/>
          <w:szCs w:val="24"/>
        </w:rPr>
        <w:t>ommunity of the Greater Mau Forest.</w:t>
      </w:r>
    </w:p>
    <w:p w14:paraId="7BD07571" w14:textId="77777777" w:rsidR="00A45724" w:rsidRPr="007F162A" w:rsidRDefault="00A45724" w:rsidP="007F162A">
      <w:pPr>
        <w:spacing w:after="0" w:line="360" w:lineRule="auto"/>
        <w:ind w:left="360"/>
        <w:jc w:val="both"/>
        <w:rPr>
          <w:rFonts w:ascii="Arial" w:eastAsia="MS Mincho" w:hAnsi="Arial" w:cs="Times New Roman"/>
          <w:szCs w:val="24"/>
        </w:rPr>
      </w:pPr>
    </w:p>
    <w:p w14:paraId="285FE93F" w14:textId="2BDFA31B" w:rsidR="00492910" w:rsidRPr="007D5F77" w:rsidRDefault="00DF7811"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The Court reserved its determination on reparations while permitting the parties to file submissions on reparations.</w:t>
      </w:r>
      <w:r w:rsidR="00431D3D">
        <w:rPr>
          <w:rFonts w:ascii="Arial" w:eastAsia="MS Mincho" w:hAnsi="Arial" w:cs="Times New Roman"/>
          <w:szCs w:val="24"/>
        </w:rPr>
        <w:t xml:space="preserve"> </w:t>
      </w:r>
      <w:r w:rsidR="008244B2">
        <w:rPr>
          <w:rFonts w:ascii="Arial" w:eastAsia="MS Mincho" w:hAnsi="Arial" w:cs="Times New Roman"/>
          <w:szCs w:val="24"/>
        </w:rPr>
        <w:t>The</w:t>
      </w:r>
      <w:r w:rsidR="00431D3D">
        <w:rPr>
          <w:rFonts w:ascii="Arial" w:eastAsia="MS Mincho" w:hAnsi="Arial" w:cs="Times New Roman"/>
          <w:szCs w:val="24"/>
        </w:rPr>
        <w:t xml:space="preserve"> parties </w:t>
      </w:r>
      <w:r w:rsidR="00BF116F">
        <w:rPr>
          <w:rFonts w:ascii="Arial" w:eastAsia="MS Mincho" w:hAnsi="Arial" w:cs="Times New Roman"/>
          <w:szCs w:val="24"/>
        </w:rPr>
        <w:t xml:space="preserve">have </w:t>
      </w:r>
      <w:r w:rsidR="00431D3D">
        <w:rPr>
          <w:rFonts w:ascii="Arial" w:eastAsia="MS Mincho" w:hAnsi="Arial" w:cs="Times New Roman"/>
          <w:szCs w:val="24"/>
        </w:rPr>
        <w:t xml:space="preserve">filed their submissions on </w:t>
      </w:r>
      <w:r w:rsidR="00431D3D" w:rsidRPr="007D5F77">
        <w:rPr>
          <w:rFonts w:ascii="Arial" w:eastAsia="MS Mincho" w:hAnsi="Arial" w:cs="Times New Roman"/>
          <w:szCs w:val="24"/>
        </w:rPr>
        <w:t>reparations and pleadings were closed on 20 September 2018.</w:t>
      </w:r>
    </w:p>
    <w:p w14:paraId="0283DEA5" w14:textId="77777777" w:rsidR="00145DA7" w:rsidRDefault="00145DA7" w:rsidP="00B32C37">
      <w:pPr>
        <w:pStyle w:val="ListParagraph"/>
        <w:spacing w:after="0" w:line="360" w:lineRule="auto"/>
        <w:jc w:val="both"/>
        <w:rPr>
          <w:rFonts w:ascii="Arial" w:eastAsia="MS Mincho" w:hAnsi="Arial" w:cs="Times New Roman"/>
          <w:szCs w:val="24"/>
        </w:rPr>
      </w:pPr>
    </w:p>
    <w:p w14:paraId="180121BB" w14:textId="610A06C6" w:rsidR="00DF7811" w:rsidRPr="007D5F77" w:rsidRDefault="00DF7811"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 </w:t>
      </w:r>
      <w:r w:rsidR="00145DA7" w:rsidRPr="00145DA7">
        <w:rPr>
          <w:rFonts w:ascii="Arial" w:eastAsia="MS Mincho" w:hAnsi="Arial" w:cs="Times New Roman"/>
          <w:szCs w:val="24"/>
        </w:rPr>
        <w:t>On 16 April 2019</w:t>
      </w:r>
      <w:r w:rsidR="00431D3D">
        <w:rPr>
          <w:rFonts w:ascii="Arial" w:eastAsia="MS Mincho" w:hAnsi="Arial" w:cs="Times New Roman"/>
          <w:szCs w:val="24"/>
        </w:rPr>
        <w:t>,</w:t>
      </w:r>
      <w:r w:rsidR="00145DA7" w:rsidRPr="00145DA7">
        <w:rPr>
          <w:rFonts w:ascii="Arial" w:eastAsia="MS Mincho" w:hAnsi="Arial" w:cs="Times New Roman"/>
          <w:szCs w:val="24"/>
        </w:rPr>
        <w:t xml:space="preserve"> the Court received two </w:t>
      </w:r>
      <w:r w:rsidR="00431D3D">
        <w:rPr>
          <w:rFonts w:ascii="Arial" w:eastAsia="MS Mincho" w:hAnsi="Arial" w:cs="Times New Roman"/>
          <w:szCs w:val="24"/>
        </w:rPr>
        <w:t>A</w:t>
      </w:r>
      <w:r w:rsidR="00145DA7" w:rsidRPr="00145DA7">
        <w:rPr>
          <w:rFonts w:ascii="Arial" w:eastAsia="MS Mincho" w:hAnsi="Arial" w:cs="Times New Roman"/>
          <w:szCs w:val="24"/>
        </w:rPr>
        <w:t>pplications</w:t>
      </w:r>
      <w:r w:rsidR="00AC3044">
        <w:rPr>
          <w:rFonts w:ascii="Arial" w:eastAsia="MS Mincho" w:hAnsi="Arial" w:cs="Times New Roman"/>
          <w:szCs w:val="24"/>
        </w:rPr>
        <w:t xml:space="preserve"> for intervention</w:t>
      </w:r>
      <w:r w:rsidR="00F852E4">
        <w:rPr>
          <w:rFonts w:ascii="Arial" w:eastAsia="MS Mincho" w:hAnsi="Arial" w:cs="Times New Roman"/>
          <w:szCs w:val="24"/>
        </w:rPr>
        <w:t>:</w:t>
      </w:r>
      <w:r w:rsidR="00145DA7" w:rsidRPr="00145DA7">
        <w:rPr>
          <w:rFonts w:ascii="Arial" w:eastAsia="MS Mincho" w:hAnsi="Arial" w:cs="Times New Roman"/>
          <w:szCs w:val="24"/>
        </w:rPr>
        <w:t xml:space="preserve"> </w:t>
      </w:r>
      <w:r w:rsidR="00F852E4">
        <w:rPr>
          <w:rFonts w:ascii="Arial" w:eastAsia="MS Mincho" w:hAnsi="Arial" w:cs="Times New Roman"/>
          <w:szCs w:val="24"/>
        </w:rPr>
        <w:t>t</w:t>
      </w:r>
      <w:r w:rsidR="00145DA7" w:rsidRPr="00145DA7">
        <w:rPr>
          <w:rFonts w:ascii="Arial" w:eastAsia="MS Mincho" w:hAnsi="Arial" w:cs="Times New Roman"/>
          <w:szCs w:val="24"/>
        </w:rPr>
        <w:t>h</w:t>
      </w:r>
      <w:r w:rsidR="00145DA7">
        <w:rPr>
          <w:rFonts w:ascii="Arial" w:eastAsia="MS Mincho" w:hAnsi="Arial" w:cs="Times New Roman"/>
          <w:szCs w:val="24"/>
        </w:rPr>
        <w:t xml:space="preserve">e first Application was filed by Wilson </w:t>
      </w:r>
      <w:proofErr w:type="spellStart"/>
      <w:r w:rsidR="00145DA7">
        <w:rPr>
          <w:rFonts w:ascii="Arial" w:eastAsia="MS Mincho" w:hAnsi="Arial" w:cs="Times New Roman"/>
          <w:szCs w:val="24"/>
        </w:rPr>
        <w:t>Barngetuny</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Koimet</w:t>
      </w:r>
      <w:proofErr w:type="spellEnd"/>
      <w:r w:rsidR="00145DA7">
        <w:rPr>
          <w:rFonts w:ascii="Arial" w:eastAsia="MS Mincho" w:hAnsi="Arial" w:cs="Times New Roman"/>
          <w:szCs w:val="24"/>
        </w:rPr>
        <w:t xml:space="preserve"> and 119 others</w:t>
      </w:r>
      <w:r w:rsidR="008244B2">
        <w:rPr>
          <w:rFonts w:ascii="Arial" w:eastAsia="MS Mincho" w:hAnsi="Arial" w:cs="Times New Roman"/>
          <w:szCs w:val="24"/>
        </w:rPr>
        <w:t>,</w:t>
      </w:r>
      <w:r w:rsidR="00145DA7">
        <w:rPr>
          <w:rFonts w:ascii="Arial" w:eastAsia="MS Mincho" w:hAnsi="Arial" w:cs="Times New Roman"/>
          <w:szCs w:val="24"/>
        </w:rPr>
        <w:t xml:space="preserve"> being residents of </w:t>
      </w:r>
      <w:proofErr w:type="spellStart"/>
      <w:r w:rsidR="00145DA7">
        <w:rPr>
          <w:rFonts w:ascii="Arial" w:eastAsia="MS Mincho" w:hAnsi="Arial" w:cs="Times New Roman"/>
          <w:szCs w:val="24"/>
        </w:rPr>
        <w:t>Amalo</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Ambusket</w:t>
      </w:r>
      <w:proofErr w:type="spellEnd"/>
      <w:r w:rsidR="00145DA7">
        <w:rPr>
          <w:rFonts w:ascii="Arial" w:eastAsia="MS Mincho" w:hAnsi="Arial" w:cs="Times New Roman"/>
          <w:szCs w:val="24"/>
        </w:rPr>
        <w:t xml:space="preserve"> and </w:t>
      </w:r>
      <w:proofErr w:type="spellStart"/>
      <w:r w:rsidR="00145DA7">
        <w:rPr>
          <w:rFonts w:ascii="Arial" w:eastAsia="MS Mincho" w:hAnsi="Arial" w:cs="Times New Roman"/>
          <w:szCs w:val="24"/>
        </w:rPr>
        <w:t>Cheptuech</w:t>
      </w:r>
      <w:proofErr w:type="spellEnd"/>
      <w:r w:rsidR="00145DA7">
        <w:rPr>
          <w:rFonts w:ascii="Arial" w:eastAsia="MS Mincho" w:hAnsi="Arial" w:cs="Times New Roman"/>
          <w:szCs w:val="24"/>
        </w:rPr>
        <w:t xml:space="preserve"> in the Respondent State</w:t>
      </w:r>
      <w:r w:rsidR="00F852E4">
        <w:rPr>
          <w:rFonts w:ascii="Arial" w:eastAsia="MS Mincho" w:hAnsi="Arial" w:cs="Times New Roman"/>
          <w:szCs w:val="24"/>
        </w:rPr>
        <w:t xml:space="preserve"> </w:t>
      </w:r>
      <w:r w:rsidR="00CA7167">
        <w:rPr>
          <w:rFonts w:ascii="Arial" w:eastAsia="MS Mincho" w:hAnsi="Arial" w:cs="Times New Roman"/>
          <w:szCs w:val="24"/>
        </w:rPr>
        <w:t>and the</w:t>
      </w:r>
      <w:r w:rsidR="00145DA7">
        <w:rPr>
          <w:rFonts w:ascii="Arial" w:eastAsia="MS Mincho" w:hAnsi="Arial" w:cs="Times New Roman"/>
          <w:szCs w:val="24"/>
        </w:rPr>
        <w:t xml:space="preserve"> second Application was filed by Peter </w:t>
      </w:r>
      <w:proofErr w:type="spellStart"/>
      <w:r w:rsidR="00145DA7">
        <w:rPr>
          <w:rFonts w:ascii="Arial" w:eastAsia="MS Mincho" w:hAnsi="Arial" w:cs="Times New Roman"/>
          <w:szCs w:val="24"/>
        </w:rPr>
        <w:t>Kibiegon</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Rono</w:t>
      </w:r>
      <w:proofErr w:type="spellEnd"/>
      <w:r w:rsidR="00145DA7">
        <w:rPr>
          <w:rFonts w:ascii="Arial" w:eastAsia="MS Mincho" w:hAnsi="Arial" w:cs="Times New Roman"/>
          <w:szCs w:val="24"/>
        </w:rPr>
        <w:t xml:space="preserve"> and 1300 others</w:t>
      </w:r>
      <w:r w:rsidR="008244B2">
        <w:rPr>
          <w:rFonts w:ascii="Arial" w:eastAsia="MS Mincho" w:hAnsi="Arial" w:cs="Times New Roman"/>
          <w:szCs w:val="24"/>
        </w:rPr>
        <w:t>,</w:t>
      </w:r>
      <w:r w:rsidR="00145DA7">
        <w:rPr>
          <w:rFonts w:ascii="Arial" w:eastAsia="MS Mincho" w:hAnsi="Arial" w:cs="Times New Roman"/>
          <w:szCs w:val="24"/>
        </w:rPr>
        <w:t xml:space="preserve"> being residents of </w:t>
      </w:r>
      <w:proofErr w:type="spellStart"/>
      <w:r w:rsidR="00145DA7">
        <w:rPr>
          <w:rFonts w:ascii="Arial" w:eastAsia="MS Mincho" w:hAnsi="Arial" w:cs="Times New Roman"/>
          <w:szCs w:val="24"/>
        </w:rPr>
        <w:t>Sigotik</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Nessuit</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Ngongongeri</w:t>
      </w:r>
      <w:proofErr w:type="spellEnd"/>
      <w:r w:rsidR="00145DA7">
        <w:rPr>
          <w:rFonts w:ascii="Arial" w:eastAsia="MS Mincho" w:hAnsi="Arial" w:cs="Times New Roman"/>
          <w:szCs w:val="24"/>
        </w:rPr>
        <w:t xml:space="preserve">, </w:t>
      </w:r>
      <w:proofErr w:type="spellStart"/>
      <w:r w:rsidR="00145DA7">
        <w:rPr>
          <w:rFonts w:ascii="Arial" w:eastAsia="MS Mincho" w:hAnsi="Arial" w:cs="Times New Roman"/>
          <w:szCs w:val="24"/>
        </w:rPr>
        <w:t>Kapsita</w:t>
      </w:r>
      <w:proofErr w:type="spellEnd"/>
      <w:r w:rsidR="00145DA7">
        <w:rPr>
          <w:rFonts w:ascii="Arial" w:eastAsia="MS Mincho" w:hAnsi="Arial" w:cs="Times New Roman"/>
          <w:szCs w:val="24"/>
        </w:rPr>
        <w:t xml:space="preserve"> and </w:t>
      </w:r>
      <w:proofErr w:type="spellStart"/>
      <w:r w:rsidR="00145DA7">
        <w:rPr>
          <w:rFonts w:ascii="Arial" w:eastAsia="MS Mincho" w:hAnsi="Arial" w:cs="Times New Roman"/>
          <w:szCs w:val="24"/>
        </w:rPr>
        <w:t>Marioshoni</w:t>
      </w:r>
      <w:proofErr w:type="spellEnd"/>
      <w:r w:rsidR="00145DA7">
        <w:rPr>
          <w:rFonts w:ascii="Arial" w:eastAsia="MS Mincho" w:hAnsi="Arial" w:cs="Times New Roman"/>
          <w:szCs w:val="24"/>
        </w:rPr>
        <w:t xml:space="preserve"> also being locations within the </w:t>
      </w:r>
      <w:r w:rsidR="00145DA7" w:rsidRPr="007D5F77">
        <w:rPr>
          <w:rFonts w:ascii="Arial" w:eastAsia="MS Mincho" w:hAnsi="Arial" w:cs="Times New Roman"/>
          <w:szCs w:val="24"/>
        </w:rPr>
        <w:t>Respondent State.</w:t>
      </w:r>
    </w:p>
    <w:p w14:paraId="0A469931" w14:textId="151E7760" w:rsidR="007372E2" w:rsidRPr="007D5F77" w:rsidRDefault="009C757B"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lastRenderedPageBreak/>
        <w:t>On 4 Ju</w:t>
      </w:r>
      <w:r w:rsidR="00AD4541">
        <w:rPr>
          <w:rFonts w:ascii="Arial" w:eastAsia="MS Mincho" w:hAnsi="Arial" w:cs="Times New Roman"/>
          <w:szCs w:val="24"/>
        </w:rPr>
        <w:t>ly 2019 the Court delivered an O</w:t>
      </w:r>
      <w:r>
        <w:rPr>
          <w:rFonts w:ascii="Arial" w:eastAsia="MS Mincho" w:hAnsi="Arial" w:cs="Times New Roman"/>
          <w:szCs w:val="24"/>
        </w:rPr>
        <w:t xml:space="preserve">rder </w:t>
      </w:r>
      <w:r w:rsidR="00AD4541">
        <w:rPr>
          <w:rFonts w:ascii="Arial" w:eastAsia="MS Mincho" w:hAnsi="Arial" w:cs="Times New Roman"/>
          <w:szCs w:val="24"/>
        </w:rPr>
        <w:t xml:space="preserve">in which it </w:t>
      </w:r>
      <w:r w:rsidR="002F2A29">
        <w:rPr>
          <w:rFonts w:ascii="Arial" w:eastAsia="MS Mincho" w:hAnsi="Arial" w:cs="Times New Roman"/>
          <w:szCs w:val="24"/>
        </w:rPr>
        <w:t xml:space="preserve">dismissed the two </w:t>
      </w:r>
      <w:r w:rsidR="00AD4541">
        <w:rPr>
          <w:rFonts w:ascii="Arial" w:eastAsia="MS Mincho" w:hAnsi="Arial" w:cs="Times New Roman"/>
          <w:szCs w:val="24"/>
        </w:rPr>
        <w:t>application</w:t>
      </w:r>
      <w:r w:rsidR="002F2A29">
        <w:rPr>
          <w:rFonts w:ascii="Arial" w:eastAsia="MS Mincho" w:hAnsi="Arial" w:cs="Times New Roman"/>
          <w:szCs w:val="24"/>
        </w:rPr>
        <w:t>s for being</w:t>
      </w:r>
      <w:r w:rsidR="00AD4541">
        <w:rPr>
          <w:rFonts w:ascii="Arial" w:eastAsia="MS Mincho" w:hAnsi="Arial" w:cs="Times New Roman"/>
          <w:szCs w:val="24"/>
        </w:rPr>
        <w:t xml:space="preserve"> inadmissible</w:t>
      </w:r>
      <w:r>
        <w:rPr>
          <w:rFonts w:ascii="Arial" w:eastAsia="MS Mincho" w:hAnsi="Arial" w:cs="Times New Roman"/>
          <w:szCs w:val="24"/>
        </w:rPr>
        <w:t>.</w:t>
      </w:r>
    </w:p>
    <w:p w14:paraId="7E77C8D7" w14:textId="77777777" w:rsidR="00492910" w:rsidRPr="003E1FFD" w:rsidRDefault="00492910" w:rsidP="00B32C37">
      <w:pPr>
        <w:spacing w:after="0" w:line="360" w:lineRule="auto"/>
        <w:jc w:val="both"/>
        <w:rPr>
          <w:rFonts w:ascii="Arial" w:eastAsia="MS Mincho" w:hAnsi="Arial" w:cs="Times New Roman"/>
          <w:szCs w:val="24"/>
        </w:rPr>
      </w:pPr>
    </w:p>
    <w:p w14:paraId="5460E301" w14:textId="65AAA622" w:rsidR="00492910" w:rsidRPr="00DE514A" w:rsidRDefault="00492910" w:rsidP="00DE514A">
      <w:pPr>
        <w:pStyle w:val="Heading1"/>
        <w:numPr>
          <w:ilvl w:val="0"/>
          <w:numId w:val="7"/>
        </w:numPr>
        <w:rPr>
          <w:rFonts w:ascii="Arial" w:eastAsia="MS Mincho" w:hAnsi="Arial" w:cs="Arial"/>
          <w:b/>
          <w:color w:val="auto"/>
          <w:sz w:val="24"/>
          <w:szCs w:val="24"/>
        </w:rPr>
      </w:pPr>
      <w:bookmarkStart w:id="1" w:name="_Toc22808157"/>
      <w:r w:rsidRPr="00DE514A">
        <w:rPr>
          <w:rFonts w:ascii="Arial" w:eastAsia="MS Mincho" w:hAnsi="Arial" w:cs="Arial"/>
          <w:b/>
          <w:color w:val="auto"/>
          <w:sz w:val="24"/>
          <w:szCs w:val="24"/>
        </w:rPr>
        <w:t>SUBJECT MATTER OF THE APPLICATION</w:t>
      </w:r>
      <w:bookmarkEnd w:id="1"/>
    </w:p>
    <w:p w14:paraId="23F183CB" w14:textId="77777777" w:rsidR="00354E51" w:rsidRDefault="00354E51" w:rsidP="00B32C37">
      <w:pPr>
        <w:pStyle w:val="ListParagraph"/>
        <w:spacing w:after="0" w:line="360" w:lineRule="auto"/>
        <w:jc w:val="both"/>
        <w:rPr>
          <w:rFonts w:ascii="Arial" w:eastAsia="MS Mincho" w:hAnsi="Arial" w:cs="Times New Roman"/>
          <w:szCs w:val="24"/>
        </w:rPr>
      </w:pPr>
    </w:p>
    <w:p w14:paraId="0359C1D7" w14:textId="77777777" w:rsidR="00492910" w:rsidRPr="00DE514A" w:rsidRDefault="00492910" w:rsidP="00DE514A">
      <w:pPr>
        <w:pStyle w:val="Heading2"/>
        <w:numPr>
          <w:ilvl w:val="0"/>
          <w:numId w:val="9"/>
        </w:numPr>
        <w:rPr>
          <w:rFonts w:ascii="Arial" w:eastAsia="MS Mincho" w:hAnsi="Arial" w:cs="Arial"/>
          <w:b/>
          <w:color w:val="auto"/>
          <w:sz w:val="24"/>
          <w:szCs w:val="24"/>
        </w:rPr>
      </w:pPr>
      <w:bookmarkStart w:id="2" w:name="_Toc22808158"/>
      <w:r w:rsidRPr="00DE514A">
        <w:rPr>
          <w:rFonts w:ascii="Arial" w:eastAsia="MS Mincho" w:hAnsi="Arial" w:cs="Arial"/>
          <w:b/>
          <w:color w:val="auto"/>
          <w:sz w:val="24"/>
          <w:szCs w:val="24"/>
        </w:rPr>
        <w:t>Facts of the matter</w:t>
      </w:r>
      <w:bookmarkEnd w:id="2"/>
    </w:p>
    <w:p w14:paraId="08F5D1AF" w14:textId="77777777" w:rsidR="00105280" w:rsidRDefault="00105280" w:rsidP="00B32C37">
      <w:pPr>
        <w:pStyle w:val="ListParagraph"/>
        <w:spacing w:after="0" w:line="360" w:lineRule="auto"/>
        <w:jc w:val="both"/>
        <w:rPr>
          <w:rFonts w:ascii="Arial" w:eastAsia="MS Mincho" w:hAnsi="Arial" w:cs="Times New Roman"/>
          <w:szCs w:val="24"/>
        </w:rPr>
      </w:pPr>
    </w:p>
    <w:p w14:paraId="5979E224" w14:textId="078F415D" w:rsidR="00492910" w:rsidRPr="007D5F77" w:rsidRDefault="00145DA7" w:rsidP="00B32C37">
      <w:pPr>
        <w:pStyle w:val="ListParagraph"/>
        <w:numPr>
          <w:ilvl w:val="0"/>
          <w:numId w:val="3"/>
        </w:numPr>
        <w:spacing w:after="0" w:line="360" w:lineRule="auto"/>
        <w:jc w:val="both"/>
        <w:rPr>
          <w:rFonts w:ascii="Arial" w:eastAsia="MS Mincho" w:hAnsi="Arial" w:cs="Times New Roman"/>
          <w:szCs w:val="24"/>
        </w:rPr>
      </w:pPr>
      <w:r w:rsidRPr="007D5F77">
        <w:rPr>
          <w:rFonts w:ascii="Arial" w:eastAsia="MS Mincho" w:hAnsi="Arial" w:cs="Times New Roman"/>
          <w:szCs w:val="24"/>
        </w:rPr>
        <w:t xml:space="preserve"> </w:t>
      </w:r>
      <w:r w:rsidR="009C757B">
        <w:rPr>
          <w:rFonts w:ascii="Arial" w:eastAsia="MS Mincho" w:hAnsi="Arial" w:cs="Times New Roman"/>
          <w:szCs w:val="24"/>
        </w:rPr>
        <w:t>On 29 August 2019</w:t>
      </w:r>
      <w:r w:rsidR="00563846">
        <w:rPr>
          <w:rFonts w:ascii="Arial" w:eastAsia="MS Mincho" w:hAnsi="Arial" w:cs="Times New Roman"/>
          <w:szCs w:val="24"/>
        </w:rPr>
        <w:t>,</w:t>
      </w:r>
      <w:r w:rsidR="009C757B">
        <w:rPr>
          <w:rFonts w:ascii="Arial" w:eastAsia="MS Mincho" w:hAnsi="Arial" w:cs="Times New Roman"/>
          <w:szCs w:val="24"/>
        </w:rPr>
        <w:t xml:space="preserve"> </w:t>
      </w:r>
      <w:r w:rsidR="00105280" w:rsidRPr="007D5F77">
        <w:rPr>
          <w:rFonts w:ascii="Arial" w:eastAsia="MS Mincho" w:hAnsi="Arial" w:cs="Times New Roman"/>
          <w:szCs w:val="24"/>
        </w:rPr>
        <w:t xml:space="preserve">Wilson </w:t>
      </w:r>
      <w:proofErr w:type="spellStart"/>
      <w:r w:rsidR="00105280" w:rsidRPr="007D5F77">
        <w:rPr>
          <w:rFonts w:ascii="Arial" w:eastAsia="MS Mincho" w:hAnsi="Arial" w:cs="Times New Roman"/>
          <w:szCs w:val="24"/>
        </w:rPr>
        <w:t>Barngetuny</w:t>
      </w:r>
      <w:proofErr w:type="spellEnd"/>
      <w:r w:rsidR="00105280" w:rsidRPr="007D5F77">
        <w:rPr>
          <w:rFonts w:ascii="Arial" w:eastAsia="MS Mincho" w:hAnsi="Arial" w:cs="Times New Roman"/>
          <w:szCs w:val="24"/>
        </w:rPr>
        <w:t xml:space="preserve"> </w:t>
      </w:r>
      <w:proofErr w:type="spellStart"/>
      <w:r w:rsidR="00105280" w:rsidRPr="007D5F77">
        <w:rPr>
          <w:rFonts w:ascii="Arial" w:eastAsia="MS Mincho" w:hAnsi="Arial" w:cs="Times New Roman"/>
          <w:szCs w:val="24"/>
        </w:rPr>
        <w:t>Koimet</w:t>
      </w:r>
      <w:proofErr w:type="spellEnd"/>
      <w:r w:rsidR="00105280" w:rsidRPr="007D5F77">
        <w:rPr>
          <w:rFonts w:ascii="Arial" w:eastAsia="MS Mincho" w:hAnsi="Arial" w:cs="Times New Roman"/>
          <w:szCs w:val="24"/>
        </w:rPr>
        <w:t xml:space="preserve"> and 119 others, </w:t>
      </w:r>
      <w:r w:rsidR="009C757B">
        <w:rPr>
          <w:rFonts w:ascii="Arial" w:eastAsia="MS Mincho" w:hAnsi="Arial" w:cs="Times New Roman"/>
          <w:szCs w:val="24"/>
        </w:rPr>
        <w:t>(hereinafter referred to as “</w:t>
      </w:r>
      <w:r w:rsidR="00105280" w:rsidRPr="007D5F77">
        <w:rPr>
          <w:rFonts w:ascii="Arial" w:eastAsia="MS Mincho" w:hAnsi="Arial" w:cs="Times New Roman"/>
          <w:szCs w:val="24"/>
        </w:rPr>
        <w:t xml:space="preserve">the </w:t>
      </w:r>
      <w:r w:rsidR="009216E3" w:rsidRPr="007D5F77">
        <w:rPr>
          <w:rFonts w:ascii="Arial" w:eastAsia="MS Mincho" w:hAnsi="Arial" w:cs="Times New Roman"/>
          <w:szCs w:val="24"/>
        </w:rPr>
        <w:t>Applicants</w:t>
      </w:r>
      <w:r w:rsidR="009C757B">
        <w:rPr>
          <w:rFonts w:ascii="Arial" w:eastAsia="MS Mincho" w:hAnsi="Arial" w:cs="Times New Roman"/>
          <w:szCs w:val="24"/>
        </w:rPr>
        <w:t>”) filed an A</w:t>
      </w:r>
      <w:r w:rsidR="00B75D13">
        <w:rPr>
          <w:rFonts w:ascii="Arial" w:eastAsia="MS Mincho" w:hAnsi="Arial" w:cs="Times New Roman"/>
          <w:szCs w:val="24"/>
        </w:rPr>
        <w:t>pplication for R</w:t>
      </w:r>
      <w:r w:rsidR="009C757B">
        <w:rPr>
          <w:rFonts w:ascii="Arial" w:eastAsia="MS Mincho" w:hAnsi="Arial" w:cs="Times New Roman"/>
          <w:szCs w:val="24"/>
        </w:rPr>
        <w:t>eview of the Court’s Order of 4 July 2019</w:t>
      </w:r>
      <w:r w:rsidR="00105280" w:rsidRPr="007D5F77">
        <w:rPr>
          <w:rFonts w:ascii="Arial" w:eastAsia="MS Mincho" w:hAnsi="Arial" w:cs="Times New Roman"/>
          <w:szCs w:val="24"/>
        </w:rPr>
        <w:t>.</w:t>
      </w:r>
    </w:p>
    <w:p w14:paraId="33E5686E" w14:textId="77777777" w:rsidR="00105280" w:rsidRPr="007D5F77" w:rsidRDefault="00105280" w:rsidP="00B32C37">
      <w:pPr>
        <w:pStyle w:val="ListParagraph"/>
        <w:spacing w:line="360" w:lineRule="auto"/>
        <w:rPr>
          <w:rFonts w:ascii="Arial" w:eastAsia="MS Mincho" w:hAnsi="Arial" w:cs="Times New Roman"/>
          <w:szCs w:val="24"/>
        </w:rPr>
      </w:pPr>
    </w:p>
    <w:p w14:paraId="1BDD1D95" w14:textId="5B1006E5" w:rsidR="00B75D13" w:rsidRPr="007D5F77" w:rsidRDefault="00B75D13" w:rsidP="00B75D13">
      <w:pPr>
        <w:pStyle w:val="ListParagraph"/>
        <w:numPr>
          <w:ilvl w:val="0"/>
          <w:numId w:val="3"/>
        </w:numPr>
        <w:spacing w:after="0" w:line="360" w:lineRule="auto"/>
        <w:jc w:val="both"/>
        <w:rPr>
          <w:rFonts w:ascii="Arial" w:eastAsia="MS Mincho" w:hAnsi="Arial" w:cs="Times New Roman"/>
          <w:szCs w:val="24"/>
        </w:rPr>
      </w:pPr>
      <w:r w:rsidRPr="007D5F77">
        <w:rPr>
          <w:rFonts w:ascii="Arial" w:eastAsia="MS Mincho" w:hAnsi="Arial" w:cs="Times New Roman"/>
          <w:szCs w:val="24"/>
        </w:rPr>
        <w:t xml:space="preserve">The </w:t>
      </w:r>
      <w:r>
        <w:rPr>
          <w:rFonts w:ascii="Arial" w:eastAsia="MS Mincho" w:hAnsi="Arial" w:cs="Times New Roman"/>
          <w:szCs w:val="24"/>
        </w:rPr>
        <w:t>Applicants raise two gro</w:t>
      </w:r>
      <w:r w:rsidR="00697506">
        <w:rPr>
          <w:rFonts w:ascii="Arial" w:eastAsia="MS Mincho" w:hAnsi="Arial" w:cs="Times New Roman"/>
          <w:szCs w:val="24"/>
        </w:rPr>
        <w:t>unds in support of their Application</w:t>
      </w:r>
      <w:r>
        <w:rPr>
          <w:rFonts w:ascii="Arial" w:eastAsia="MS Mincho" w:hAnsi="Arial" w:cs="Times New Roman"/>
          <w:szCs w:val="24"/>
        </w:rPr>
        <w:t xml:space="preserve">: firstly, that “this honourable court erred in law and in fact by dismissing the intended intervenors application on the basis of delay in filing the application for intervention.” Secondly, that “this honourable court erred in law and in fact by allowing itself to be handicapped by procedural technicalities by holding that neither the Protocol nor the Rules provide a mechanism permitting a third party, which is not a state party, to intervene in on-going proceedings.” </w:t>
      </w:r>
    </w:p>
    <w:p w14:paraId="03A8C6AD" w14:textId="77777777" w:rsidR="001A00A7" w:rsidRPr="001A00A7" w:rsidRDefault="001A00A7" w:rsidP="00B32C37">
      <w:pPr>
        <w:pStyle w:val="ListParagraph"/>
        <w:spacing w:line="360" w:lineRule="auto"/>
        <w:rPr>
          <w:rFonts w:ascii="Arial" w:eastAsia="MS Mincho" w:hAnsi="Arial" w:cs="Times New Roman"/>
          <w:szCs w:val="24"/>
        </w:rPr>
      </w:pPr>
    </w:p>
    <w:p w14:paraId="7CDA97E9" w14:textId="23833DE6" w:rsidR="00492910" w:rsidRPr="00A11004" w:rsidRDefault="006D74F5" w:rsidP="00A11004">
      <w:pPr>
        <w:pStyle w:val="Heading2"/>
        <w:numPr>
          <w:ilvl w:val="0"/>
          <w:numId w:val="9"/>
        </w:numPr>
        <w:rPr>
          <w:rFonts w:ascii="Arial" w:eastAsia="MS Mincho" w:hAnsi="Arial" w:cs="Arial"/>
          <w:b/>
          <w:color w:val="auto"/>
          <w:sz w:val="24"/>
          <w:szCs w:val="24"/>
        </w:rPr>
      </w:pPr>
      <w:bookmarkStart w:id="3" w:name="_Toc22808159"/>
      <w:r w:rsidRPr="00A11004">
        <w:rPr>
          <w:rFonts w:ascii="Arial" w:eastAsia="MS Mincho" w:hAnsi="Arial" w:cs="Arial"/>
          <w:b/>
          <w:color w:val="auto"/>
          <w:sz w:val="24"/>
          <w:szCs w:val="24"/>
        </w:rPr>
        <w:t xml:space="preserve">The </w:t>
      </w:r>
      <w:r w:rsidR="007372E2">
        <w:rPr>
          <w:rFonts w:ascii="Arial" w:eastAsia="MS Mincho" w:hAnsi="Arial" w:cs="Arial"/>
          <w:b/>
          <w:color w:val="auto"/>
          <w:sz w:val="24"/>
          <w:szCs w:val="24"/>
        </w:rPr>
        <w:t>Applicants’</w:t>
      </w:r>
      <w:r w:rsidRPr="00A11004">
        <w:rPr>
          <w:rFonts w:ascii="Arial" w:eastAsia="MS Mincho" w:hAnsi="Arial" w:cs="Arial"/>
          <w:b/>
          <w:color w:val="auto"/>
          <w:sz w:val="24"/>
          <w:szCs w:val="24"/>
        </w:rPr>
        <w:t xml:space="preserve"> p</w:t>
      </w:r>
      <w:r w:rsidR="00492910" w:rsidRPr="00A11004">
        <w:rPr>
          <w:rFonts w:ascii="Arial" w:eastAsia="MS Mincho" w:hAnsi="Arial" w:cs="Arial"/>
          <w:b/>
          <w:color w:val="auto"/>
          <w:sz w:val="24"/>
          <w:szCs w:val="24"/>
        </w:rPr>
        <w:t>rayer</w:t>
      </w:r>
      <w:r w:rsidR="008C488B" w:rsidRPr="00A11004">
        <w:rPr>
          <w:rFonts w:ascii="Arial" w:eastAsia="MS Mincho" w:hAnsi="Arial" w:cs="Arial"/>
          <w:b/>
          <w:color w:val="auto"/>
          <w:sz w:val="24"/>
          <w:szCs w:val="24"/>
        </w:rPr>
        <w:t>s</w:t>
      </w:r>
      <w:bookmarkEnd w:id="3"/>
    </w:p>
    <w:p w14:paraId="6902C745" w14:textId="77777777" w:rsidR="00492910" w:rsidRPr="00252603" w:rsidRDefault="00492910" w:rsidP="00B32C37">
      <w:pPr>
        <w:spacing w:after="0" w:line="360" w:lineRule="auto"/>
        <w:jc w:val="both"/>
        <w:rPr>
          <w:rFonts w:ascii="Arial" w:eastAsia="MS Mincho" w:hAnsi="Arial" w:cs="Times New Roman"/>
          <w:b/>
          <w:szCs w:val="24"/>
        </w:rPr>
      </w:pPr>
    </w:p>
    <w:p w14:paraId="2AA38533" w14:textId="2D4FBC74" w:rsidR="00647A86" w:rsidRDefault="00647A86"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w:t>
      </w:r>
      <w:r w:rsidR="007372E2" w:rsidRPr="00767092">
        <w:rPr>
          <w:rFonts w:ascii="Arial" w:eastAsia="MS Mincho" w:hAnsi="Arial" w:cs="Times New Roman"/>
          <w:szCs w:val="24"/>
        </w:rPr>
        <w:t>Applicants</w:t>
      </w:r>
      <w:r w:rsidR="00767092">
        <w:rPr>
          <w:rFonts w:ascii="Arial" w:eastAsia="MS Mincho" w:hAnsi="Arial" w:cs="Times New Roman"/>
          <w:szCs w:val="24"/>
        </w:rPr>
        <w:t xml:space="preserve"> pray the Court f</w:t>
      </w:r>
      <w:r>
        <w:rPr>
          <w:rFonts w:ascii="Arial" w:eastAsia="MS Mincho" w:hAnsi="Arial" w:cs="Times New Roman"/>
          <w:szCs w:val="24"/>
        </w:rPr>
        <w:t>o</w:t>
      </w:r>
      <w:r w:rsidR="00767092">
        <w:rPr>
          <w:rFonts w:ascii="Arial" w:eastAsia="MS Mincho" w:hAnsi="Arial" w:cs="Times New Roman"/>
          <w:szCs w:val="24"/>
        </w:rPr>
        <w:t>r</w:t>
      </w:r>
      <w:r>
        <w:rPr>
          <w:rFonts w:ascii="Arial" w:eastAsia="MS Mincho" w:hAnsi="Arial" w:cs="Times New Roman"/>
          <w:szCs w:val="24"/>
        </w:rPr>
        <w:t xml:space="preserve"> order</w:t>
      </w:r>
      <w:r w:rsidR="00767092">
        <w:rPr>
          <w:rFonts w:ascii="Arial" w:eastAsia="MS Mincho" w:hAnsi="Arial" w:cs="Times New Roman"/>
          <w:szCs w:val="24"/>
        </w:rPr>
        <w:t>s</w:t>
      </w:r>
      <w:r w:rsidR="00807147">
        <w:rPr>
          <w:rFonts w:ascii="Arial" w:eastAsia="MS Mincho" w:hAnsi="Arial" w:cs="Times New Roman"/>
          <w:szCs w:val="24"/>
        </w:rPr>
        <w:t>:</w:t>
      </w:r>
    </w:p>
    <w:p w14:paraId="5E39B4EA" w14:textId="77777777" w:rsidR="00252603" w:rsidRDefault="00252603" w:rsidP="00B32C37">
      <w:pPr>
        <w:pStyle w:val="ListParagraph"/>
        <w:spacing w:after="0" w:line="360" w:lineRule="auto"/>
        <w:jc w:val="both"/>
        <w:rPr>
          <w:rFonts w:ascii="Arial" w:eastAsia="MS Mincho" w:hAnsi="Arial" w:cs="Times New Roman"/>
          <w:szCs w:val="24"/>
        </w:rPr>
      </w:pPr>
    </w:p>
    <w:p w14:paraId="66DE6878" w14:textId="701FDB68" w:rsidR="00647A86" w:rsidRDefault="00252603"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 xml:space="preserve">“1. THAT this </w:t>
      </w:r>
      <w:r w:rsidR="00767092">
        <w:rPr>
          <w:rFonts w:ascii="Arial" w:eastAsia="MS Mincho" w:hAnsi="Arial" w:cs="Times New Roman"/>
          <w:szCs w:val="24"/>
        </w:rPr>
        <w:t>honourable court be pleased to review and/or set aside its ruling dated 4</w:t>
      </w:r>
      <w:r w:rsidR="00767092" w:rsidRPr="00767092">
        <w:rPr>
          <w:rFonts w:ascii="Arial" w:eastAsia="MS Mincho" w:hAnsi="Arial" w:cs="Times New Roman"/>
          <w:szCs w:val="24"/>
          <w:vertAlign w:val="superscript"/>
        </w:rPr>
        <w:t>th</w:t>
      </w:r>
      <w:r w:rsidR="00767092">
        <w:rPr>
          <w:rFonts w:ascii="Arial" w:eastAsia="MS Mincho" w:hAnsi="Arial" w:cs="Times New Roman"/>
          <w:szCs w:val="24"/>
        </w:rPr>
        <w:t xml:space="preserve"> July 2019</w:t>
      </w:r>
      <w:r>
        <w:rPr>
          <w:rFonts w:ascii="Arial" w:eastAsia="MS Mincho" w:hAnsi="Arial" w:cs="Times New Roman"/>
          <w:szCs w:val="24"/>
        </w:rPr>
        <w:t>.</w:t>
      </w:r>
    </w:p>
    <w:p w14:paraId="7D5AC045" w14:textId="77777777" w:rsidR="00252603" w:rsidRDefault="00252603" w:rsidP="00B32C37">
      <w:pPr>
        <w:pStyle w:val="ListParagraph"/>
        <w:spacing w:after="0" w:line="360" w:lineRule="auto"/>
        <w:jc w:val="both"/>
        <w:rPr>
          <w:rFonts w:ascii="Arial" w:eastAsia="MS Mincho" w:hAnsi="Arial" w:cs="Times New Roman"/>
          <w:szCs w:val="24"/>
        </w:rPr>
      </w:pPr>
    </w:p>
    <w:p w14:paraId="1D8F20DD" w14:textId="493C19EA" w:rsidR="00252603" w:rsidRDefault="00252603"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 xml:space="preserve">2. THAT this </w:t>
      </w:r>
      <w:r w:rsidR="00767092">
        <w:rPr>
          <w:rFonts w:ascii="Arial" w:eastAsia="MS Mincho" w:hAnsi="Arial" w:cs="Times New Roman"/>
          <w:szCs w:val="24"/>
        </w:rPr>
        <w:t>h</w:t>
      </w:r>
      <w:r>
        <w:rPr>
          <w:rFonts w:ascii="Arial" w:eastAsia="MS Mincho" w:hAnsi="Arial" w:cs="Times New Roman"/>
          <w:szCs w:val="24"/>
        </w:rPr>
        <w:t xml:space="preserve">onourable court be pleased to </w:t>
      </w:r>
      <w:r w:rsidR="00767092">
        <w:rPr>
          <w:rFonts w:ascii="Arial" w:eastAsia="MS Mincho" w:hAnsi="Arial" w:cs="Times New Roman"/>
          <w:szCs w:val="24"/>
        </w:rPr>
        <w:t>grant leave to the applicants herein to intervene in the present suit as interested parties.</w:t>
      </w:r>
    </w:p>
    <w:p w14:paraId="16EC7343" w14:textId="77777777" w:rsidR="00252603" w:rsidRDefault="00252603" w:rsidP="00B32C37">
      <w:pPr>
        <w:pStyle w:val="ListParagraph"/>
        <w:spacing w:after="0" w:line="360" w:lineRule="auto"/>
        <w:jc w:val="both"/>
        <w:rPr>
          <w:rFonts w:ascii="Arial" w:eastAsia="MS Mincho" w:hAnsi="Arial" w:cs="Times New Roman"/>
          <w:szCs w:val="24"/>
        </w:rPr>
      </w:pPr>
    </w:p>
    <w:p w14:paraId="080E94EE" w14:textId="2D0E4427" w:rsidR="00252603" w:rsidRDefault="00767092" w:rsidP="006D25ED">
      <w:pPr>
        <w:pStyle w:val="ListParagraph"/>
        <w:spacing w:after="0" w:line="360" w:lineRule="auto"/>
        <w:ind w:left="1440"/>
        <w:jc w:val="both"/>
        <w:rPr>
          <w:rFonts w:ascii="Arial" w:eastAsia="MS Mincho" w:hAnsi="Arial" w:cs="Times New Roman"/>
          <w:szCs w:val="24"/>
        </w:rPr>
      </w:pPr>
      <w:r>
        <w:rPr>
          <w:rFonts w:ascii="Arial" w:eastAsia="MS Mincho" w:hAnsi="Arial" w:cs="Times New Roman"/>
          <w:szCs w:val="24"/>
        </w:rPr>
        <w:t>3. THAT this h</w:t>
      </w:r>
      <w:r w:rsidR="00252603">
        <w:rPr>
          <w:rFonts w:ascii="Arial" w:eastAsia="MS Mincho" w:hAnsi="Arial" w:cs="Times New Roman"/>
          <w:szCs w:val="24"/>
        </w:rPr>
        <w:t xml:space="preserve">onourable court be pleased to </w:t>
      </w:r>
      <w:r>
        <w:rPr>
          <w:rFonts w:ascii="Arial" w:eastAsia="MS Mincho" w:hAnsi="Arial" w:cs="Times New Roman"/>
          <w:szCs w:val="24"/>
        </w:rPr>
        <w:t xml:space="preserve">grant any other order it may deem just in the administration of </w:t>
      </w:r>
      <w:r w:rsidR="00252603">
        <w:rPr>
          <w:rFonts w:ascii="Arial" w:eastAsia="MS Mincho" w:hAnsi="Arial" w:cs="Times New Roman"/>
          <w:szCs w:val="24"/>
        </w:rPr>
        <w:t>justice.”</w:t>
      </w:r>
    </w:p>
    <w:p w14:paraId="32741BCB" w14:textId="77777777" w:rsidR="00252603" w:rsidRDefault="00252603" w:rsidP="00B32C37">
      <w:pPr>
        <w:pStyle w:val="ListParagraph"/>
        <w:spacing w:after="0" w:line="360" w:lineRule="auto"/>
        <w:jc w:val="both"/>
        <w:rPr>
          <w:rFonts w:ascii="Arial" w:eastAsia="MS Mincho" w:hAnsi="Arial" w:cs="Times New Roman"/>
          <w:szCs w:val="24"/>
        </w:rPr>
      </w:pPr>
    </w:p>
    <w:p w14:paraId="69C7CC04" w14:textId="77777777" w:rsidR="00492910" w:rsidRPr="003E1FFD" w:rsidRDefault="00492910" w:rsidP="00B32C37">
      <w:pPr>
        <w:spacing w:after="0" w:line="360" w:lineRule="auto"/>
        <w:jc w:val="both"/>
        <w:rPr>
          <w:rFonts w:ascii="Arial" w:eastAsia="MS Mincho" w:hAnsi="Arial" w:cs="Times New Roman"/>
          <w:szCs w:val="24"/>
        </w:rPr>
      </w:pPr>
    </w:p>
    <w:p w14:paraId="30EAA266" w14:textId="0EF0D32C" w:rsidR="00492910" w:rsidRPr="006A35A7" w:rsidRDefault="00FA61DE" w:rsidP="00037E77">
      <w:pPr>
        <w:pStyle w:val="Heading1"/>
        <w:numPr>
          <w:ilvl w:val="0"/>
          <w:numId w:val="24"/>
        </w:numPr>
        <w:rPr>
          <w:rFonts w:ascii="Arial" w:eastAsia="MS Mincho" w:hAnsi="Arial" w:cs="Arial"/>
          <w:b/>
          <w:color w:val="auto"/>
          <w:sz w:val="24"/>
          <w:szCs w:val="24"/>
        </w:rPr>
      </w:pPr>
      <w:bookmarkStart w:id="4" w:name="_Toc22808160"/>
      <w:r>
        <w:rPr>
          <w:rFonts w:ascii="Arial" w:eastAsia="MS Mincho" w:hAnsi="Arial" w:cs="Arial"/>
          <w:b/>
          <w:color w:val="auto"/>
          <w:sz w:val="24"/>
          <w:szCs w:val="24"/>
        </w:rPr>
        <w:t>ON THE REQUEST FOR REVIEW OF THE COURT’S ORDER</w:t>
      </w:r>
      <w:bookmarkEnd w:id="4"/>
      <w:r w:rsidR="009F51F3">
        <w:rPr>
          <w:rFonts w:ascii="Arial" w:eastAsia="MS Mincho" w:hAnsi="Arial" w:cs="Arial"/>
          <w:b/>
          <w:color w:val="auto"/>
          <w:sz w:val="24"/>
          <w:szCs w:val="24"/>
        </w:rPr>
        <w:t xml:space="preserve"> </w:t>
      </w:r>
    </w:p>
    <w:p w14:paraId="346500F1" w14:textId="77777777" w:rsidR="00492910" w:rsidRDefault="00492910" w:rsidP="00B32C37">
      <w:pPr>
        <w:spacing w:after="0" w:line="360" w:lineRule="auto"/>
        <w:jc w:val="both"/>
        <w:rPr>
          <w:rFonts w:ascii="Arial" w:eastAsia="MS Mincho" w:hAnsi="Arial" w:cs="Times New Roman"/>
          <w:szCs w:val="24"/>
        </w:rPr>
      </w:pPr>
    </w:p>
    <w:p w14:paraId="21E1E7E2" w14:textId="1589C099" w:rsidR="00436980" w:rsidRDefault="00697506" w:rsidP="00B32C37">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Court </w:t>
      </w:r>
      <w:r w:rsidR="00F5671F">
        <w:rPr>
          <w:rFonts w:ascii="Arial" w:eastAsia="MS Mincho" w:hAnsi="Arial" w:cs="Times New Roman"/>
          <w:szCs w:val="24"/>
        </w:rPr>
        <w:t>notes the power to review its own decisions stems from Article 28 of the Protocol which power</w:t>
      </w:r>
      <w:r w:rsidR="00B75D13">
        <w:rPr>
          <w:rFonts w:ascii="Arial" w:eastAsia="MS Mincho" w:hAnsi="Arial" w:cs="Times New Roman"/>
          <w:szCs w:val="24"/>
        </w:rPr>
        <w:t xml:space="preserve"> is</w:t>
      </w:r>
      <w:r w:rsidR="00F5671F">
        <w:rPr>
          <w:rFonts w:ascii="Arial" w:eastAsia="MS Mincho" w:hAnsi="Arial" w:cs="Times New Roman"/>
          <w:szCs w:val="24"/>
        </w:rPr>
        <w:t xml:space="preserve"> further explained in Rule 67 of the Rules.</w:t>
      </w:r>
      <w:r w:rsidR="00D739E1" w:rsidRPr="007D5F77">
        <w:rPr>
          <w:rFonts w:ascii="Arial" w:eastAsia="MS Mincho" w:hAnsi="Arial" w:cs="Times New Roman"/>
          <w:szCs w:val="24"/>
        </w:rPr>
        <w:t xml:space="preserve"> </w:t>
      </w:r>
    </w:p>
    <w:p w14:paraId="6B398494" w14:textId="77777777" w:rsidR="00F5671F" w:rsidRPr="007D5F77" w:rsidRDefault="00F5671F" w:rsidP="00F5671F">
      <w:pPr>
        <w:pStyle w:val="ListParagraph"/>
        <w:spacing w:after="0" w:line="360" w:lineRule="auto"/>
        <w:jc w:val="both"/>
        <w:rPr>
          <w:rFonts w:ascii="Arial" w:eastAsia="MS Mincho" w:hAnsi="Arial" w:cs="Times New Roman"/>
          <w:szCs w:val="24"/>
        </w:rPr>
      </w:pPr>
    </w:p>
    <w:p w14:paraId="03EB79DD" w14:textId="518811C9" w:rsidR="00F5671F" w:rsidRDefault="003B1E0C" w:rsidP="00F5671F">
      <w:pPr>
        <w:pStyle w:val="ListParagraph"/>
        <w:numPr>
          <w:ilvl w:val="0"/>
          <w:numId w:val="3"/>
        </w:numPr>
        <w:spacing w:after="0" w:line="360" w:lineRule="auto"/>
        <w:jc w:val="both"/>
        <w:rPr>
          <w:rFonts w:ascii="Arial" w:eastAsia="MS Mincho" w:hAnsi="Arial" w:cs="Times New Roman"/>
          <w:szCs w:val="24"/>
        </w:rPr>
      </w:pPr>
      <w:r w:rsidRPr="00FE4ABB">
        <w:rPr>
          <w:rFonts w:ascii="Arial" w:eastAsia="MS Mincho" w:hAnsi="Arial" w:cs="Times New Roman"/>
          <w:szCs w:val="24"/>
        </w:rPr>
        <w:t>T</w:t>
      </w:r>
      <w:r w:rsidR="00F5671F">
        <w:rPr>
          <w:rFonts w:ascii="Arial" w:eastAsia="MS Mincho" w:hAnsi="Arial" w:cs="Times New Roman"/>
          <w:szCs w:val="24"/>
        </w:rPr>
        <w:t>he Court recalls that Article 28</w:t>
      </w:r>
      <w:r w:rsidR="003073D8">
        <w:rPr>
          <w:rFonts w:ascii="Arial" w:eastAsia="MS Mincho" w:hAnsi="Arial" w:cs="Times New Roman"/>
          <w:szCs w:val="24"/>
        </w:rPr>
        <w:t>(3)</w:t>
      </w:r>
      <w:r w:rsidR="00F5671F">
        <w:rPr>
          <w:rFonts w:ascii="Arial" w:eastAsia="MS Mincho" w:hAnsi="Arial" w:cs="Times New Roman"/>
          <w:szCs w:val="24"/>
        </w:rPr>
        <w:t xml:space="preserve"> of the P</w:t>
      </w:r>
      <w:r w:rsidR="003073D8">
        <w:rPr>
          <w:rFonts w:ascii="Arial" w:eastAsia="MS Mincho" w:hAnsi="Arial" w:cs="Times New Roman"/>
          <w:szCs w:val="24"/>
        </w:rPr>
        <w:t xml:space="preserve">rotocol </w:t>
      </w:r>
      <w:r w:rsidR="00F5671F">
        <w:rPr>
          <w:rFonts w:ascii="Arial" w:eastAsia="MS Mincho" w:hAnsi="Arial" w:cs="Times New Roman"/>
          <w:szCs w:val="24"/>
        </w:rPr>
        <w:t>provides as follows:</w:t>
      </w:r>
    </w:p>
    <w:p w14:paraId="6B94F09E" w14:textId="77777777" w:rsidR="00F5671F" w:rsidRPr="00F5671F" w:rsidRDefault="00F5671F" w:rsidP="00F5671F">
      <w:pPr>
        <w:pStyle w:val="ListParagraph"/>
        <w:rPr>
          <w:rFonts w:ascii="Arial" w:eastAsia="MS Mincho" w:hAnsi="Arial" w:cs="Times New Roman"/>
          <w:szCs w:val="24"/>
        </w:rPr>
      </w:pPr>
    </w:p>
    <w:p w14:paraId="61D60BF0" w14:textId="40F1004F" w:rsidR="00F5671F" w:rsidRPr="009F3F26" w:rsidRDefault="009F3F26" w:rsidP="009F3F26">
      <w:pPr>
        <w:pStyle w:val="ListParagraph"/>
        <w:spacing w:after="0" w:line="360" w:lineRule="auto"/>
        <w:ind w:left="1440"/>
        <w:jc w:val="both"/>
        <w:rPr>
          <w:rFonts w:ascii="Arial" w:eastAsia="MS Mincho" w:hAnsi="Arial" w:cs="Times New Roman"/>
          <w:sz w:val="22"/>
        </w:rPr>
      </w:pPr>
      <w:r>
        <w:rPr>
          <w:rFonts w:ascii="Arial" w:eastAsia="MS Mincho" w:hAnsi="Arial" w:cs="Times New Roman"/>
          <w:sz w:val="22"/>
        </w:rPr>
        <w:t>“</w:t>
      </w:r>
      <w:r w:rsidRPr="009F3F26">
        <w:rPr>
          <w:rFonts w:ascii="Arial" w:eastAsia="MS Mincho" w:hAnsi="Arial" w:cs="Times New Roman"/>
          <w:sz w:val="22"/>
        </w:rPr>
        <w:t xml:space="preserve"> </w:t>
      </w:r>
      <w:r w:rsidR="00F5671F" w:rsidRPr="009F3F26">
        <w:rPr>
          <w:rFonts w:ascii="Arial" w:eastAsia="MS Mincho" w:hAnsi="Arial" w:cs="Times New Roman"/>
          <w:sz w:val="22"/>
        </w:rPr>
        <w:t>Without prejudice to sub-article 2 above, the Court may review its decision in the light of new evidence under conditions to be set out in the Rules of Procedure.</w:t>
      </w:r>
      <w:r>
        <w:rPr>
          <w:rFonts w:ascii="Arial" w:eastAsia="MS Mincho" w:hAnsi="Arial" w:cs="Times New Roman"/>
          <w:sz w:val="22"/>
        </w:rPr>
        <w:t>”</w:t>
      </w:r>
    </w:p>
    <w:p w14:paraId="47E0975D" w14:textId="77777777" w:rsidR="00F5671F" w:rsidRPr="00F5671F" w:rsidRDefault="00F5671F" w:rsidP="00F5671F">
      <w:pPr>
        <w:pStyle w:val="ListParagraph"/>
        <w:rPr>
          <w:rFonts w:ascii="Arial" w:eastAsia="MS Mincho" w:hAnsi="Arial" w:cs="Times New Roman"/>
          <w:szCs w:val="24"/>
        </w:rPr>
      </w:pPr>
    </w:p>
    <w:p w14:paraId="4B16E1C8" w14:textId="4451F507" w:rsidR="00F5671F" w:rsidRDefault="009F3F26"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The Court further recalls that Rule 67, in so far as is material, provides as follows:</w:t>
      </w:r>
    </w:p>
    <w:p w14:paraId="6F025DBB" w14:textId="153CDEF1" w:rsidR="009F3F26" w:rsidRDefault="009F3F26" w:rsidP="009F3F26">
      <w:pPr>
        <w:pStyle w:val="ListParagraph"/>
        <w:spacing w:after="0" w:line="360" w:lineRule="auto"/>
        <w:jc w:val="both"/>
        <w:rPr>
          <w:rFonts w:ascii="Arial" w:eastAsia="MS Mincho" w:hAnsi="Arial" w:cs="Times New Roman"/>
          <w:szCs w:val="24"/>
        </w:rPr>
      </w:pPr>
      <w:r>
        <w:rPr>
          <w:rFonts w:ascii="Arial" w:eastAsia="MS Mincho" w:hAnsi="Arial" w:cs="Times New Roman"/>
          <w:szCs w:val="24"/>
        </w:rPr>
        <w:t>“</w:t>
      </w:r>
    </w:p>
    <w:p w14:paraId="32853057" w14:textId="64986FEE" w:rsidR="009F3F26" w:rsidRPr="009F3F26" w:rsidRDefault="009F3F26" w:rsidP="009F3F26">
      <w:pPr>
        <w:pStyle w:val="ListParagraph"/>
        <w:numPr>
          <w:ilvl w:val="0"/>
          <w:numId w:val="27"/>
        </w:numPr>
        <w:spacing w:after="0" w:line="360" w:lineRule="auto"/>
        <w:jc w:val="both"/>
        <w:rPr>
          <w:rFonts w:ascii="Arial" w:eastAsia="MS Mincho" w:hAnsi="Arial" w:cs="Times New Roman"/>
          <w:sz w:val="22"/>
          <w:lang w:val="en-US"/>
        </w:rPr>
      </w:pPr>
      <w:r w:rsidRPr="009F3F26">
        <w:rPr>
          <w:rFonts w:ascii="Arial" w:eastAsia="MS Mincho" w:hAnsi="Arial" w:cs="Times New Roman"/>
          <w:sz w:val="22"/>
          <w:lang w:val="en-US"/>
        </w:rPr>
        <w:t>Pursuant to article 28(3) of the Protocol, a party may apply to the Court to review its judgment in the event of the discovery of evidence, which was not within the knowledge of the party at the time the judgment was delivered. Such application shall be filed within six (6) months after that party acquired knowledge of the evidence so discovered.</w:t>
      </w:r>
    </w:p>
    <w:p w14:paraId="3A9C3879" w14:textId="5A007FC8" w:rsidR="009F3F26" w:rsidRPr="009F3F26" w:rsidRDefault="009F3F26" w:rsidP="009F3F26">
      <w:pPr>
        <w:pStyle w:val="ListParagraph"/>
        <w:numPr>
          <w:ilvl w:val="0"/>
          <w:numId w:val="27"/>
        </w:numPr>
        <w:spacing w:after="0" w:line="360" w:lineRule="auto"/>
        <w:jc w:val="both"/>
        <w:rPr>
          <w:rFonts w:ascii="Arial" w:eastAsia="MS Mincho" w:hAnsi="Arial" w:cs="Times New Roman"/>
          <w:szCs w:val="24"/>
          <w:lang w:val="en-US"/>
        </w:rPr>
      </w:pPr>
      <w:r w:rsidRPr="009F3F26">
        <w:rPr>
          <w:rFonts w:ascii="Arial" w:eastAsia="MS Mincho" w:hAnsi="Arial" w:cs="Times New Roman"/>
          <w:sz w:val="22"/>
          <w:lang w:val="en-US"/>
        </w:rPr>
        <w:t xml:space="preserve">The application shall specify the judgment in respect of which revision is requested, contain the information necessary to show that the conditions laid down in sub-rule 1 of this Rule have been met, and shall be accompanied by a copy of all relevant supporting documents. The application as well as the supporting documents </w:t>
      </w:r>
      <w:r>
        <w:rPr>
          <w:rFonts w:ascii="Arial" w:eastAsia="MS Mincho" w:hAnsi="Arial" w:cs="Times New Roman"/>
          <w:sz w:val="22"/>
          <w:lang w:val="en-US"/>
        </w:rPr>
        <w:t>shall be filed in the Registry.”</w:t>
      </w:r>
    </w:p>
    <w:p w14:paraId="00217BDD" w14:textId="77777777" w:rsidR="009F3F26" w:rsidRDefault="009F3F26" w:rsidP="009F3F26">
      <w:pPr>
        <w:pStyle w:val="ListParagraph"/>
        <w:spacing w:after="0" w:line="360" w:lineRule="auto"/>
        <w:jc w:val="both"/>
        <w:rPr>
          <w:rFonts w:ascii="Arial" w:eastAsia="MS Mincho" w:hAnsi="Arial" w:cs="Times New Roman"/>
          <w:szCs w:val="24"/>
        </w:rPr>
      </w:pPr>
    </w:p>
    <w:p w14:paraId="1731DD45" w14:textId="3B3728A3" w:rsidR="009F3F26" w:rsidRDefault="003073D8"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A combined reading of Article 28(3) of the Protocol and Rule 67 </w:t>
      </w:r>
      <w:r w:rsidR="00E84A13">
        <w:rPr>
          <w:rFonts w:ascii="Arial" w:eastAsia="MS Mincho" w:hAnsi="Arial" w:cs="Times New Roman"/>
          <w:szCs w:val="24"/>
        </w:rPr>
        <w:t xml:space="preserve">of the Rules </w:t>
      </w:r>
      <w:r>
        <w:rPr>
          <w:rFonts w:ascii="Arial" w:eastAsia="MS Mincho" w:hAnsi="Arial" w:cs="Times New Roman"/>
          <w:szCs w:val="24"/>
        </w:rPr>
        <w:t>confirms that in an application for review, the Applicant must demonstrate “the discovery of evidence, which was not within the knowledge of the party at the time the judgment was delivered.”</w:t>
      </w:r>
      <w:r w:rsidR="007C1026" w:rsidRPr="007C1026">
        <w:rPr>
          <w:rStyle w:val="FootnoteReference"/>
          <w:rFonts w:ascii="Arial" w:eastAsia="MS Mincho" w:hAnsi="Arial" w:cs="Times New Roman"/>
          <w:szCs w:val="24"/>
        </w:rPr>
        <w:t xml:space="preserve"> </w:t>
      </w:r>
      <w:r w:rsidR="007C1026">
        <w:rPr>
          <w:rStyle w:val="FootnoteReference"/>
          <w:rFonts w:ascii="Arial" w:eastAsia="MS Mincho" w:hAnsi="Arial" w:cs="Times New Roman"/>
          <w:szCs w:val="24"/>
        </w:rPr>
        <w:footnoteReference w:id="1"/>
      </w:r>
      <w:r w:rsidR="007C1026">
        <w:rPr>
          <w:rFonts w:ascii="Arial" w:eastAsia="MS Mincho" w:hAnsi="Arial" w:cs="Times New Roman"/>
          <w:szCs w:val="24"/>
        </w:rPr>
        <w:t xml:space="preserve"> It is also clear</w:t>
      </w:r>
      <w:r w:rsidR="00F753DB">
        <w:rPr>
          <w:rFonts w:ascii="Arial" w:eastAsia="MS Mincho" w:hAnsi="Arial" w:cs="Times New Roman"/>
          <w:szCs w:val="24"/>
        </w:rPr>
        <w:t>,</w:t>
      </w:r>
      <w:r w:rsidR="007C1026">
        <w:rPr>
          <w:rFonts w:ascii="Arial" w:eastAsia="MS Mincho" w:hAnsi="Arial" w:cs="Times New Roman"/>
          <w:szCs w:val="24"/>
        </w:rPr>
        <w:t xml:space="preserve"> from Article 28(3), that an </w:t>
      </w:r>
      <w:r w:rsidR="007C1026">
        <w:rPr>
          <w:rFonts w:ascii="Arial" w:eastAsia="MS Mincho" w:hAnsi="Arial" w:cs="Times New Roman"/>
          <w:szCs w:val="24"/>
        </w:rPr>
        <w:lastRenderedPageBreak/>
        <w:t>application for review cannot be used to undermine the principle of finality of judgment which is enshrined in Article 28(2) of the Protocol.</w:t>
      </w:r>
      <w:r w:rsidR="007C1026">
        <w:rPr>
          <w:rStyle w:val="FootnoteReference"/>
          <w:rFonts w:ascii="Arial" w:eastAsia="MS Mincho" w:hAnsi="Arial" w:cs="Times New Roman"/>
          <w:szCs w:val="24"/>
        </w:rPr>
        <w:footnoteReference w:id="2"/>
      </w:r>
    </w:p>
    <w:p w14:paraId="57EEC89D" w14:textId="77777777" w:rsidR="007C1026" w:rsidRDefault="007C1026" w:rsidP="007C1026">
      <w:pPr>
        <w:pStyle w:val="ListParagraph"/>
        <w:spacing w:after="0" w:line="360" w:lineRule="auto"/>
        <w:jc w:val="both"/>
        <w:rPr>
          <w:rFonts w:ascii="Arial" w:eastAsia="MS Mincho" w:hAnsi="Arial" w:cs="Times New Roman"/>
          <w:szCs w:val="24"/>
        </w:rPr>
      </w:pPr>
    </w:p>
    <w:p w14:paraId="29FB9773" w14:textId="2E4C518A" w:rsidR="003073D8" w:rsidRDefault="00F753DB"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As previously confirmed by</w:t>
      </w:r>
      <w:r w:rsidR="00277401">
        <w:rPr>
          <w:rFonts w:ascii="Arial" w:eastAsia="MS Mincho" w:hAnsi="Arial" w:cs="Times New Roman"/>
          <w:szCs w:val="24"/>
        </w:rPr>
        <w:t xml:space="preserve"> the Court, the onus is on the a</w:t>
      </w:r>
      <w:r>
        <w:rPr>
          <w:rFonts w:ascii="Arial" w:eastAsia="MS Mincho" w:hAnsi="Arial" w:cs="Times New Roman"/>
          <w:szCs w:val="24"/>
        </w:rPr>
        <w:t>pplicant to demonstrate, in his application, the discovery of new evidence of which he had no knowledge of at the time of the Court’s judgment and the exact time when he came to know of this evidence.</w:t>
      </w:r>
      <w:r w:rsidR="00297879">
        <w:rPr>
          <w:rStyle w:val="FootnoteReference"/>
          <w:rFonts w:ascii="Arial" w:eastAsia="MS Mincho" w:hAnsi="Arial" w:cs="Times New Roman"/>
          <w:szCs w:val="24"/>
        </w:rPr>
        <w:footnoteReference w:id="3"/>
      </w:r>
      <w:r>
        <w:rPr>
          <w:rFonts w:ascii="Arial" w:eastAsia="MS Mincho" w:hAnsi="Arial" w:cs="Times New Roman"/>
          <w:szCs w:val="24"/>
        </w:rPr>
        <w:t xml:space="preserve"> The application for</w:t>
      </w:r>
      <w:r w:rsidR="00277401">
        <w:rPr>
          <w:rFonts w:ascii="Arial" w:eastAsia="MS Mincho" w:hAnsi="Arial" w:cs="Times New Roman"/>
          <w:szCs w:val="24"/>
        </w:rPr>
        <w:t xml:space="preserve"> review itself, must be file</w:t>
      </w:r>
      <w:r>
        <w:rPr>
          <w:rFonts w:ascii="Arial" w:eastAsia="MS Mincho" w:hAnsi="Arial" w:cs="Times New Roman"/>
          <w:szCs w:val="24"/>
        </w:rPr>
        <w:t>d within six (6) months of the time when the Applicant</w:t>
      </w:r>
      <w:r w:rsidR="0044707E">
        <w:rPr>
          <w:rFonts w:ascii="Arial" w:eastAsia="MS Mincho" w:hAnsi="Arial" w:cs="Times New Roman"/>
          <w:szCs w:val="24"/>
        </w:rPr>
        <w:t xml:space="preserve"> obtained such evidence.</w:t>
      </w:r>
    </w:p>
    <w:p w14:paraId="344915EA" w14:textId="77777777" w:rsidR="00425EA5" w:rsidRPr="00425EA5" w:rsidRDefault="00425EA5" w:rsidP="00425EA5">
      <w:pPr>
        <w:pStyle w:val="ListParagraph"/>
        <w:rPr>
          <w:rFonts w:ascii="Arial" w:eastAsia="MS Mincho" w:hAnsi="Arial" w:cs="Times New Roman"/>
          <w:szCs w:val="24"/>
        </w:rPr>
      </w:pPr>
    </w:p>
    <w:p w14:paraId="28ADF2D1" w14:textId="319B94C8" w:rsidR="00425EA5" w:rsidRDefault="00425EA5"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The Court observes that the Ap</w:t>
      </w:r>
      <w:r w:rsidR="00E84A13">
        <w:rPr>
          <w:rFonts w:ascii="Arial" w:eastAsia="MS Mincho" w:hAnsi="Arial" w:cs="Times New Roman"/>
          <w:szCs w:val="24"/>
        </w:rPr>
        <w:t>plication for R</w:t>
      </w:r>
      <w:r>
        <w:rPr>
          <w:rFonts w:ascii="Arial" w:eastAsia="MS Mincho" w:hAnsi="Arial" w:cs="Times New Roman"/>
          <w:szCs w:val="24"/>
        </w:rPr>
        <w:t xml:space="preserve">eview is supported by an affidavit sworn by </w:t>
      </w:r>
      <w:r w:rsidR="00BC7DCC">
        <w:rPr>
          <w:rFonts w:ascii="Arial" w:eastAsia="MS Mincho" w:hAnsi="Arial" w:cs="Times New Roman"/>
          <w:szCs w:val="24"/>
        </w:rPr>
        <w:t xml:space="preserve">Wilson </w:t>
      </w:r>
      <w:proofErr w:type="spellStart"/>
      <w:r w:rsidR="00BC7DCC">
        <w:rPr>
          <w:rFonts w:ascii="Arial" w:eastAsia="MS Mincho" w:hAnsi="Arial" w:cs="Times New Roman"/>
          <w:szCs w:val="24"/>
        </w:rPr>
        <w:t>Barngetuny</w:t>
      </w:r>
      <w:proofErr w:type="spellEnd"/>
      <w:r w:rsidR="00BC7DCC">
        <w:rPr>
          <w:rFonts w:ascii="Arial" w:eastAsia="MS Mincho" w:hAnsi="Arial" w:cs="Times New Roman"/>
          <w:szCs w:val="24"/>
        </w:rPr>
        <w:t xml:space="preserve"> </w:t>
      </w:r>
      <w:proofErr w:type="spellStart"/>
      <w:r w:rsidR="00BC7DCC">
        <w:rPr>
          <w:rFonts w:ascii="Arial" w:eastAsia="MS Mincho" w:hAnsi="Arial" w:cs="Times New Roman"/>
          <w:szCs w:val="24"/>
        </w:rPr>
        <w:t>Koimet</w:t>
      </w:r>
      <w:proofErr w:type="spellEnd"/>
      <w:r w:rsidR="00BC7DCC">
        <w:rPr>
          <w:rFonts w:ascii="Arial" w:eastAsia="MS Mincho" w:hAnsi="Arial" w:cs="Times New Roman"/>
          <w:szCs w:val="24"/>
        </w:rPr>
        <w:t>, ostensibly on behalf of</w:t>
      </w:r>
      <w:r w:rsidR="00E84A13">
        <w:rPr>
          <w:rFonts w:ascii="Arial" w:eastAsia="MS Mincho" w:hAnsi="Arial" w:cs="Times New Roman"/>
          <w:szCs w:val="24"/>
        </w:rPr>
        <w:t xml:space="preserve"> all the A</w:t>
      </w:r>
      <w:r w:rsidR="00BC7DCC">
        <w:rPr>
          <w:rFonts w:ascii="Arial" w:eastAsia="MS Mincho" w:hAnsi="Arial" w:cs="Times New Roman"/>
          <w:szCs w:val="24"/>
        </w:rPr>
        <w:t xml:space="preserve">pplicants. The affidavit, and the Applicants’ arguments, the Court further observes, revolve </w:t>
      </w:r>
      <w:proofErr w:type="gramStart"/>
      <w:r w:rsidR="00BC7DCC">
        <w:rPr>
          <w:rFonts w:ascii="Arial" w:eastAsia="MS Mincho" w:hAnsi="Arial" w:cs="Times New Roman"/>
          <w:szCs w:val="24"/>
        </w:rPr>
        <w:t>around  two</w:t>
      </w:r>
      <w:proofErr w:type="gramEnd"/>
      <w:r w:rsidR="00BC7DCC">
        <w:rPr>
          <w:rFonts w:ascii="Arial" w:eastAsia="MS Mincho" w:hAnsi="Arial" w:cs="Times New Roman"/>
          <w:szCs w:val="24"/>
        </w:rPr>
        <w:t xml:space="preserve"> grounds. These two grounds, the Co</w:t>
      </w:r>
      <w:r w:rsidR="00E84A13">
        <w:rPr>
          <w:rFonts w:ascii="Arial" w:eastAsia="MS Mincho" w:hAnsi="Arial" w:cs="Times New Roman"/>
          <w:szCs w:val="24"/>
        </w:rPr>
        <w:t>urt recalls</w:t>
      </w:r>
      <w:r w:rsidR="00BC7DCC">
        <w:rPr>
          <w:rFonts w:ascii="Arial" w:eastAsia="MS Mincho" w:hAnsi="Arial" w:cs="Times New Roman"/>
          <w:szCs w:val="24"/>
        </w:rPr>
        <w:t>, relate to the alleged error by the Court in respect of its finding as to the time it took the Applicant</w:t>
      </w:r>
      <w:r w:rsidR="00E84A13">
        <w:rPr>
          <w:rFonts w:ascii="Arial" w:eastAsia="MS Mincho" w:hAnsi="Arial" w:cs="Times New Roman"/>
          <w:szCs w:val="24"/>
        </w:rPr>
        <w:t>s</w:t>
      </w:r>
      <w:r w:rsidR="00BC7DCC">
        <w:rPr>
          <w:rFonts w:ascii="Arial" w:eastAsia="MS Mincho" w:hAnsi="Arial" w:cs="Times New Roman"/>
          <w:szCs w:val="24"/>
        </w:rPr>
        <w:t xml:space="preserve"> to file for intervention and also the allegation that the Court erred by “handicapping” itself with technicalities in its disposal of the Applicant’s request for intervention.</w:t>
      </w:r>
    </w:p>
    <w:p w14:paraId="601F2F3C" w14:textId="77777777" w:rsidR="00BC7DCC" w:rsidRPr="00BC7DCC" w:rsidRDefault="00BC7DCC" w:rsidP="00BC7DCC">
      <w:pPr>
        <w:pStyle w:val="ListParagraph"/>
        <w:rPr>
          <w:rFonts w:ascii="Arial" w:eastAsia="MS Mincho" w:hAnsi="Arial" w:cs="Times New Roman"/>
          <w:szCs w:val="24"/>
        </w:rPr>
      </w:pPr>
    </w:p>
    <w:p w14:paraId="3F718473" w14:textId="38A777A0" w:rsidR="003D1D8C" w:rsidRDefault="00BC7DCC"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The Court notes that </w:t>
      </w:r>
      <w:r w:rsidR="007714FD">
        <w:rPr>
          <w:rFonts w:ascii="Arial" w:eastAsia="MS Mincho" w:hAnsi="Arial" w:cs="Times New Roman"/>
          <w:szCs w:val="24"/>
        </w:rPr>
        <w:t xml:space="preserve">in paragraph </w:t>
      </w:r>
      <w:r w:rsidR="00277401">
        <w:rPr>
          <w:rFonts w:ascii="Arial" w:eastAsia="MS Mincho" w:hAnsi="Arial" w:cs="Times New Roman"/>
          <w:szCs w:val="24"/>
        </w:rPr>
        <w:t>thirteen (</w:t>
      </w:r>
      <w:r w:rsidR="007714FD">
        <w:rPr>
          <w:rFonts w:ascii="Arial" w:eastAsia="MS Mincho" w:hAnsi="Arial" w:cs="Times New Roman"/>
          <w:szCs w:val="24"/>
        </w:rPr>
        <w:t>13</w:t>
      </w:r>
      <w:r w:rsidR="00277401">
        <w:rPr>
          <w:rFonts w:ascii="Arial" w:eastAsia="MS Mincho" w:hAnsi="Arial" w:cs="Times New Roman"/>
          <w:szCs w:val="24"/>
        </w:rPr>
        <w:t>)</w:t>
      </w:r>
      <w:r w:rsidR="007714FD">
        <w:rPr>
          <w:rFonts w:ascii="Arial" w:eastAsia="MS Mincho" w:hAnsi="Arial" w:cs="Times New Roman"/>
          <w:szCs w:val="24"/>
        </w:rPr>
        <w:t xml:space="preserve"> of the affidavit sworn by</w:t>
      </w:r>
      <w:r w:rsidR="007714FD" w:rsidRPr="007714FD">
        <w:rPr>
          <w:rFonts w:ascii="Arial" w:eastAsia="MS Mincho" w:hAnsi="Arial" w:cs="Times New Roman"/>
          <w:szCs w:val="24"/>
        </w:rPr>
        <w:t xml:space="preserve"> Wilson </w:t>
      </w:r>
      <w:proofErr w:type="spellStart"/>
      <w:r w:rsidR="007714FD" w:rsidRPr="007714FD">
        <w:rPr>
          <w:rFonts w:ascii="Arial" w:eastAsia="MS Mincho" w:hAnsi="Arial" w:cs="Times New Roman"/>
          <w:szCs w:val="24"/>
        </w:rPr>
        <w:t>Barngetuny</w:t>
      </w:r>
      <w:proofErr w:type="spellEnd"/>
      <w:r w:rsidR="007714FD" w:rsidRPr="007714FD">
        <w:rPr>
          <w:rFonts w:ascii="Arial" w:eastAsia="MS Mincho" w:hAnsi="Arial" w:cs="Times New Roman"/>
          <w:szCs w:val="24"/>
        </w:rPr>
        <w:t xml:space="preserve"> </w:t>
      </w:r>
      <w:proofErr w:type="spellStart"/>
      <w:r w:rsidR="007714FD" w:rsidRPr="007714FD">
        <w:rPr>
          <w:rFonts w:ascii="Arial" w:eastAsia="MS Mincho" w:hAnsi="Arial" w:cs="Times New Roman"/>
          <w:szCs w:val="24"/>
        </w:rPr>
        <w:t>Koimet</w:t>
      </w:r>
      <w:proofErr w:type="spellEnd"/>
      <w:r w:rsidR="007714FD">
        <w:rPr>
          <w:rFonts w:ascii="Arial" w:eastAsia="MS Mincho" w:hAnsi="Arial" w:cs="Times New Roman"/>
          <w:szCs w:val="24"/>
        </w:rPr>
        <w:t xml:space="preserve">, the Applicants allege that they are bringing before </w:t>
      </w:r>
      <w:r w:rsidR="008622C7">
        <w:rPr>
          <w:rFonts w:ascii="Arial" w:eastAsia="MS Mincho" w:hAnsi="Arial" w:cs="Times New Roman"/>
          <w:szCs w:val="24"/>
        </w:rPr>
        <w:t>it</w:t>
      </w:r>
      <w:r w:rsidR="007714FD">
        <w:rPr>
          <w:rFonts w:ascii="Arial" w:eastAsia="MS Mincho" w:hAnsi="Arial" w:cs="Times New Roman"/>
          <w:szCs w:val="24"/>
        </w:rPr>
        <w:t xml:space="preserve"> evidence to prove that the three land sections forming part of the </w:t>
      </w:r>
      <w:proofErr w:type="spellStart"/>
      <w:r w:rsidR="007714FD">
        <w:rPr>
          <w:rFonts w:ascii="Arial" w:eastAsia="MS Mincho" w:hAnsi="Arial" w:cs="Times New Roman"/>
          <w:szCs w:val="24"/>
        </w:rPr>
        <w:t>Olenguruone</w:t>
      </w:r>
      <w:proofErr w:type="spellEnd"/>
      <w:r w:rsidR="007714FD">
        <w:rPr>
          <w:rFonts w:ascii="Arial" w:eastAsia="MS Mincho" w:hAnsi="Arial" w:cs="Times New Roman"/>
          <w:szCs w:val="24"/>
        </w:rPr>
        <w:t xml:space="preserve"> are not part of the Mau Forest Complex.</w:t>
      </w:r>
      <w:r w:rsidR="00922AA7">
        <w:rPr>
          <w:rFonts w:ascii="Arial" w:eastAsia="MS Mincho" w:hAnsi="Arial" w:cs="Times New Roman"/>
          <w:szCs w:val="24"/>
        </w:rPr>
        <w:t xml:space="preserve"> </w:t>
      </w:r>
      <w:r w:rsidR="003D1D8C">
        <w:rPr>
          <w:rFonts w:ascii="Arial" w:eastAsia="MS Mincho" w:hAnsi="Arial" w:cs="Times New Roman"/>
          <w:szCs w:val="24"/>
        </w:rPr>
        <w:t>Attached to this affidavit</w:t>
      </w:r>
      <w:r w:rsidR="002A17D6">
        <w:rPr>
          <w:rFonts w:ascii="Arial" w:eastAsia="MS Mincho" w:hAnsi="Arial" w:cs="Times New Roman"/>
          <w:szCs w:val="24"/>
        </w:rPr>
        <w:t xml:space="preserve"> are</w:t>
      </w:r>
      <w:r w:rsidR="003D1D8C">
        <w:rPr>
          <w:rFonts w:ascii="Arial" w:eastAsia="MS Mincho" w:hAnsi="Arial" w:cs="Times New Roman"/>
          <w:szCs w:val="24"/>
        </w:rPr>
        <w:t xml:space="preserve">, among other things, the following: a map of the Mau Forest Complex allegedly obtained from the Kenya Forest Service, a letter dated 15 March 2012 from the Chief Land Registrar to the District Land Registrar, </w:t>
      </w:r>
      <w:proofErr w:type="spellStart"/>
      <w:r w:rsidR="003D1D8C">
        <w:rPr>
          <w:rFonts w:ascii="Arial" w:eastAsia="MS Mincho" w:hAnsi="Arial" w:cs="Times New Roman"/>
          <w:szCs w:val="24"/>
        </w:rPr>
        <w:t>Nakuru</w:t>
      </w:r>
      <w:proofErr w:type="spellEnd"/>
      <w:r w:rsidR="003D1D8C">
        <w:rPr>
          <w:rFonts w:ascii="Arial" w:eastAsia="MS Mincho" w:hAnsi="Arial" w:cs="Times New Roman"/>
          <w:szCs w:val="24"/>
        </w:rPr>
        <w:t>, various letters obtained from the Kenya National Archives dating back to 1941; and a</w:t>
      </w:r>
      <w:r w:rsidR="002A17D6">
        <w:rPr>
          <w:rFonts w:ascii="Arial" w:eastAsia="MS Mincho" w:hAnsi="Arial" w:cs="Times New Roman"/>
          <w:szCs w:val="24"/>
        </w:rPr>
        <w:t xml:space="preserve"> </w:t>
      </w:r>
      <w:r w:rsidR="003D1D8C">
        <w:rPr>
          <w:rFonts w:ascii="Arial" w:eastAsia="MS Mincho" w:hAnsi="Arial" w:cs="Times New Roman"/>
          <w:szCs w:val="24"/>
        </w:rPr>
        <w:t xml:space="preserve">research paper submitted to the University of Nairobi in 2009. </w:t>
      </w:r>
    </w:p>
    <w:p w14:paraId="059411C8" w14:textId="77777777" w:rsidR="003D1D8C" w:rsidRPr="003D1D8C" w:rsidRDefault="003D1D8C" w:rsidP="003D1D8C">
      <w:pPr>
        <w:pStyle w:val="ListParagraph"/>
        <w:rPr>
          <w:rFonts w:ascii="Arial" w:eastAsia="MS Mincho" w:hAnsi="Arial" w:cs="Times New Roman"/>
          <w:szCs w:val="24"/>
        </w:rPr>
      </w:pPr>
    </w:p>
    <w:p w14:paraId="622C7F5E" w14:textId="5BBC1C92" w:rsidR="00BC7DCC" w:rsidRDefault="00922AA7"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lastRenderedPageBreak/>
        <w:t>I</w:t>
      </w:r>
      <w:r w:rsidR="003D1D8C">
        <w:rPr>
          <w:rFonts w:ascii="Arial" w:eastAsia="MS Mincho" w:hAnsi="Arial" w:cs="Times New Roman"/>
          <w:szCs w:val="24"/>
        </w:rPr>
        <w:t xml:space="preserve">t is the above </w:t>
      </w:r>
      <w:r w:rsidR="002A17D6">
        <w:rPr>
          <w:rFonts w:ascii="Arial" w:eastAsia="MS Mincho" w:hAnsi="Arial" w:cs="Times New Roman"/>
          <w:szCs w:val="24"/>
        </w:rPr>
        <w:t>referred to</w:t>
      </w:r>
      <w:r>
        <w:rPr>
          <w:rFonts w:ascii="Arial" w:eastAsia="MS Mincho" w:hAnsi="Arial" w:cs="Times New Roman"/>
          <w:szCs w:val="24"/>
        </w:rPr>
        <w:t xml:space="preserve"> evidence that the Applicants submit in</w:t>
      </w:r>
      <w:r w:rsidR="003D1D8C">
        <w:rPr>
          <w:rFonts w:ascii="Arial" w:eastAsia="MS Mincho" w:hAnsi="Arial" w:cs="Times New Roman"/>
          <w:szCs w:val="24"/>
        </w:rPr>
        <w:t xml:space="preserve"> support of their Application for Review. T</w:t>
      </w:r>
      <w:r>
        <w:rPr>
          <w:rFonts w:ascii="Arial" w:eastAsia="MS Mincho" w:hAnsi="Arial" w:cs="Times New Roman"/>
          <w:szCs w:val="24"/>
        </w:rPr>
        <w:t>he Court</w:t>
      </w:r>
      <w:r w:rsidR="003D1D8C">
        <w:rPr>
          <w:rFonts w:ascii="Arial" w:eastAsia="MS Mincho" w:hAnsi="Arial" w:cs="Times New Roman"/>
          <w:szCs w:val="24"/>
        </w:rPr>
        <w:t>, focusing on the evidence submitted by the Applicants,</w:t>
      </w:r>
      <w:r>
        <w:rPr>
          <w:rFonts w:ascii="Arial" w:eastAsia="MS Mincho" w:hAnsi="Arial" w:cs="Times New Roman"/>
          <w:szCs w:val="24"/>
        </w:rPr>
        <w:t xml:space="preserve"> observes that</w:t>
      </w:r>
      <w:r w:rsidR="007714FD">
        <w:rPr>
          <w:rFonts w:ascii="Arial" w:eastAsia="MS Mincho" w:hAnsi="Arial" w:cs="Times New Roman"/>
          <w:szCs w:val="24"/>
        </w:rPr>
        <w:t xml:space="preserve"> </w:t>
      </w:r>
      <w:r>
        <w:rPr>
          <w:rFonts w:ascii="Arial" w:eastAsia="MS Mincho" w:hAnsi="Arial" w:cs="Times New Roman"/>
          <w:szCs w:val="24"/>
        </w:rPr>
        <w:t>t</w:t>
      </w:r>
      <w:r w:rsidR="007714FD">
        <w:rPr>
          <w:rFonts w:ascii="Arial" w:eastAsia="MS Mincho" w:hAnsi="Arial" w:cs="Times New Roman"/>
          <w:szCs w:val="24"/>
        </w:rPr>
        <w:t>he Ap</w:t>
      </w:r>
      <w:r>
        <w:rPr>
          <w:rFonts w:ascii="Arial" w:eastAsia="MS Mincho" w:hAnsi="Arial" w:cs="Times New Roman"/>
          <w:szCs w:val="24"/>
        </w:rPr>
        <w:t xml:space="preserve">plicants </w:t>
      </w:r>
      <w:r w:rsidR="007714FD">
        <w:rPr>
          <w:rFonts w:ascii="Arial" w:eastAsia="MS Mincho" w:hAnsi="Arial" w:cs="Times New Roman"/>
          <w:szCs w:val="24"/>
        </w:rPr>
        <w:t>have not demonstrated that this evidence was not within their knowledge at the time the Court delivered its Order of 4 July 2019.</w:t>
      </w:r>
      <w:r>
        <w:rPr>
          <w:rFonts w:ascii="Arial" w:eastAsia="MS Mincho" w:hAnsi="Arial" w:cs="Times New Roman"/>
          <w:szCs w:val="24"/>
        </w:rPr>
        <w:t xml:space="preserve"> </w:t>
      </w:r>
      <w:r w:rsidR="003D1D8C">
        <w:rPr>
          <w:rFonts w:ascii="Arial" w:eastAsia="MS Mincho" w:hAnsi="Arial" w:cs="Times New Roman"/>
          <w:szCs w:val="24"/>
        </w:rPr>
        <w:t xml:space="preserve">Neither have the Applicants demonstrated that their Application for Review was filed within six (6) months of them becoming aware of the existence of this evidence. </w:t>
      </w:r>
      <w:r>
        <w:rPr>
          <w:rFonts w:ascii="Arial" w:eastAsia="MS Mincho" w:hAnsi="Arial" w:cs="Times New Roman"/>
          <w:szCs w:val="24"/>
        </w:rPr>
        <w:t>As a matter of fact, the Court notes that the “new” evidence is generically similar to the evidence that the Applicant</w:t>
      </w:r>
      <w:r w:rsidR="00DE518D">
        <w:rPr>
          <w:rFonts w:ascii="Arial" w:eastAsia="MS Mincho" w:hAnsi="Arial" w:cs="Times New Roman"/>
          <w:szCs w:val="24"/>
        </w:rPr>
        <w:t>s</w:t>
      </w:r>
      <w:r>
        <w:rPr>
          <w:rFonts w:ascii="Arial" w:eastAsia="MS Mincho" w:hAnsi="Arial" w:cs="Times New Roman"/>
          <w:szCs w:val="24"/>
        </w:rPr>
        <w:t xml:space="preserve"> filed before the Court in their Application for intervention. The Applicants have, therefore, failed to fulfil the requirement</w:t>
      </w:r>
      <w:r w:rsidR="00277401">
        <w:rPr>
          <w:rFonts w:ascii="Arial" w:eastAsia="MS Mincho" w:hAnsi="Arial" w:cs="Times New Roman"/>
          <w:szCs w:val="24"/>
        </w:rPr>
        <w:t>s</w:t>
      </w:r>
      <w:r>
        <w:rPr>
          <w:rFonts w:ascii="Arial" w:eastAsia="MS Mincho" w:hAnsi="Arial" w:cs="Times New Roman"/>
          <w:szCs w:val="24"/>
        </w:rPr>
        <w:t xml:space="preserve"> in Rule 67(1) of the Rules.</w:t>
      </w:r>
    </w:p>
    <w:p w14:paraId="57411B5C" w14:textId="77777777" w:rsidR="00E34395" w:rsidRPr="00E34395" w:rsidRDefault="00E34395" w:rsidP="00E34395">
      <w:pPr>
        <w:pStyle w:val="ListParagraph"/>
        <w:rPr>
          <w:rFonts w:ascii="Arial" w:eastAsia="MS Mincho" w:hAnsi="Arial" w:cs="Times New Roman"/>
          <w:szCs w:val="24"/>
        </w:rPr>
      </w:pPr>
    </w:p>
    <w:p w14:paraId="6AF1BF34" w14:textId="1B38A95C" w:rsidR="00E34395" w:rsidRDefault="00E34395" w:rsidP="00707F59">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The Court also notes that the Applicants have questioned the fact that the Court</w:t>
      </w:r>
      <w:r w:rsidR="00DE518D">
        <w:rPr>
          <w:rFonts w:ascii="Arial" w:eastAsia="MS Mincho" w:hAnsi="Arial" w:cs="Times New Roman"/>
          <w:szCs w:val="24"/>
        </w:rPr>
        <w:t>, allegedly,</w:t>
      </w:r>
      <w:r>
        <w:rPr>
          <w:rFonts w:ascii="Arial" w:eastAsia="MS Mincho" w:hAnsi="Arial" w:cs="Times New Roman"/>
          <w:szCs w:val="24"/>
        </w:rPr>
        <w:t xml:space="preserve"> disposed of the Application for intervention without </w:t>
      </w:r>
      <w:r w:rsidR="00DE518D">
        <w:rPr>
          <w:rFonts w:ascii="Arial" w:eastAsia="MS Mincho" w:hAnsi="Arial" w:cs="Times New Roman"/>
          <w:szCs w:val="24"/>
        </w:rPr>
        <w:t>h</w:t>
      </w:r>
      <w:r>
        <w:rPr>
          <w:rFonts w:ascii="Arial" w:eastAsia="MS Mincho" w:hAnsi="Arial" w:cs="Times New Roman"/>
          <w:szCs w:val="24"/>
        </w:rPr>
        <w:t>earing</w:t>
      </w:r>
      <w:r w:rsidR="00DE518D">
        <w:rPr>
          <w:rFonts w:ascii="Arial" w:eastAsia="MS Mincho" w:hAnsi="Arial" w:cs="Times New Roman"/>
          <w:szCs w:val="24"/>
        </w:rPr>
        <w:t xml:space="preserve"> them</w:t>
      </w:r>
      <w:r>
        <w:rPr>
          <w:rFonts w:ascii="Arial" w:eastAsia="MS Mincho" w:hAnsi="Arial" w:cs="Times New Roman"/>
          <w:szCs w:val="24"/>
        </w:rPr>
        <w:t>. The Applicants aver that this is a violation of Article 7 of the</w:t>
      </w:r>
      <w:r w:rsidR="00DE518D">
        <w:rPr>
          <w:rFonts w:ascii="Arial" w:eastAsia="MS Mincho" w:hAnsi="Arial" w:cs="Times New Roman"/>
          <w:szCs w:val="24"/>
        </w:rPr>
        <w:t xml:space="preserve"> African</w:t>
      </w:r>
      <w:r>
        <w:rPr>
          <w:rFonts w:ascii="Arial" w:eastAsia="MS Mincho" w:hAnsi="Arial" w:cs="Times New Roman"/>
          <w:szCs w:val="24"/>
        </w:rPr>
        <w:t xml:space="preserve"> Charter</w:t>
      </w:r>
      <w:r w:rsidR="00DE518D">
        <w:rPr>
          <w:rFonts w:ascii="Arial" w:eastAsia="MS Mincho" w:hAnsi="Arial" w:cs="Times New Roman"/>
          <w:szCs w:val="24"/>
        </w:rPr>
        <w:t xml:space="preserve"> on Human and Peoples’ Rights</w:t>
      </w:r>
      <w:r>
        <w:rPr>
          <w:rFonts w:ascii="Arial" w:eastAsia="MS Mincho" w:hAnsi="Arial" w:cs="Times New Roman"/>
          <w:szCs w:val="24"/>
        </w:rPr>
        <w:t>. In this regard, the Court notes that Rule 27</w:t>
      </w:r>
      <w:r w:rsidR="00707F59">
        <w:rPr>
          <w:rFonts w:ascii="Arial" w:eastAsia="MS Mincho" w:hAnsi="Arial" w:cs="Times New Roman"/>
          <w:szCs w:val="24"/>
        </w:rPr>
        <w:t>(1)</w:t>
      </w:r>
      <w:r>
        <w:rPr>
          <w:rFonts w:ascii="Arial" w:eastAsia="MS Mincho" w:hAnsi="Arial" w:cs="Times New Roman"/>
          <w:szCs w:val="24"/>
        </w:rPr>
        <w:t xml:space="preserve"> of the Rules provides </w:t>
      </w:r>
      <w:r w:rsidR="00707F59">
        <w:rPr>
          <w:rFonts w:ascii="Arial" w:eastAsia="MS Mincho" w:hAnsi="Arial" w:cs="Times New Roman"/>
          <w:szCs w:val="24"/>
        </w:rPr>
        <w:t xml:space="preserve">that </w:t>
      </w:r>
      <w:r w:rsidR="00707F59" w:rsidRPr="00707F59">
        <w:rPr>
          <w:rFonts w:ascii="Arial" w:eastAsia="MS Mincho" w:hAnsi="Arial" w:cs="Times New Roman"/>
          <w:sz w:val="22"/>
        </w:rPr>
        <w:t>“[t]he procedure before the Court shall consist of written, and if necessary, oral proceedings</w:t>
      </w:r>
      <w:r w:rsidR="00707F59">
        <w:rPr>
          <w:rFonts w:ascii="Arial" w:eastAsia="MS Mincho" w:hAnsi="Arial" w:cs="Times New Roman"/>
          <w:szCs w:val="24"/>
        </w:rPr>
        <w:t xml:space="preserve">”. Evidently, the Court is not obliged to hold public hearings in each and every application. The absence of a public hearing, however, does not mean that a party’s case has not been </w:t>
      </w:r>
      <w:r w:rsidR="00DE518D">
        <w:rPr>
          <w:rFonts w:ascii="Arial" w:eastAsia="MS Mincho" w:hAnsi="Arial" w:cs="Times New Roman"/>
          <w:szCs w:val="24"/>
        </w:rPr>
        <w:t xml:space="preserve">heard. </w:t>
      </w:r>
      <w:r w:rsidR="00707F59">
        <w:rPr>
          <w:rFonts w:ascii="Arial" w:eastAsia="MS Mincho" w:hAnsi="Arial" w:cs="Times New Roman"/>
          <w:szCs w:val="24"/>
        </w:rPr>
        <w:t>The Court merely disposes of any such application on the basis of the</w:t>
      </w:r>
      <w:r w:rsidR="008622C7">
        <w:rPr>
          <w:rFonts w:ascii="Arial" w:eastAsia="MS Mincho" w:hAnsi="Arial" w:cs="Times New Roman"/>
          <w:szCs w:val="24"/>
        </w:rPr>
        <w:t xml:space="preserve"> written</w:t>
      </w:r>
      <w:r w:rsidR="00707F59">
        <w:rPr>
          <w:rFonts w:ascii="Arial" w:eastAsia="MS Mincho" w:hAnsi="Arial" w:cs="Times New Roman"/>
          <w:szCs w:val="24"/>
        </w:rPr>
        <w:t xml:space="preserve"> pleadings</w:t>
      </w:r>
      <w:r w:rsidR="00996DD4">
        <w:rPr>
          <w:rFonts w:ascii="Arial" w:eastAsia="MS Mincho" w:hAnsi="Arial" w:cs="Times New Roman"/>
          <w:szCs w:val="24"/>
        </w:rPr>
        <w:t>.</w:t>
      </w:r>
      <w:r w:rsidR="00707F59">
        <w:rPr>
          <w:rFonts w:ascii="Arial" w:eastAsia="MS Mincho" w:hAnsi="Arial" w:cs="Times New Roman"/>
          <w:szCs w:val="24"/>
        </w:rPr>
        <w:t xml:space="preserve"> </w:t>
      </w:r>
      <w:r w:rsidR="00DE518D">
        <w:rPr>
          <w:rFonts w:ascii="Arial" w:eastAsia="MS Mincho" w:hAnsi="Arial" w:cs="Times New Roman"/>
          <w:szCs w:val="24"/>
        </w:rPr>
        <w:t xml:space="preserve"> </w:t>
      </w:r>
      <w:r w:rsidR="00996DD4">
        <w:rPr>
          <w:rFonts w:ascii="Arial" w:eastAsia="MS Mincho" w:hAnsi="Arial" w:cs="Times New Roman"/>
          <w:szCs w:val="24"/>
        </w:rPr>
        <w:t xml:space="preserve">Additionally, the Court also observes that under Rule 38 of the Rules, it has been given the power to dismiss non-meritorious applications without having to summon the parties for a hearing. </w:t>
      </w:r>
      <w:r w:rsidR="00DE518D">
        <w:rPr>
          <w:rFonts w:ascii="Arial" w:eastAsia="MS Mincho" w:hAnsi="Arial" w:cs="Times New Roman"/>
          <w:szCs w:val="24"/>
        </w:rPr>
        <w:t>The Court, therefore, does not find</w:t>
      </w:r>
      <w:r w:rsidR="00996DD4">
        <w:rPr>
          <w:rFonts w:ascii="Arial" w:eastAsia="MS Mincho" w:hAnsi="Arial" w:cs="Times New Roman"/>
          <w:szCs w:val="24"/>
        </w:rPr>
        <w:t xml:space="preserve"> any</w:t>
      </w:r>
      <w:r w:rsidR="00DE518D">
        <w:rPr>
          <w:rFonts w:ascii="Arial" w:eastAsia="MS Mincho" w:hAnsi="Arial" w:cs="Times New Roman"/>
          <w:szCs w:val="24"/>
        </w:rPr>
        <w:t xml:space="preserve"> merit in the Applicants’ contention on this point.</w:t>
      </w:r>
    </w:p>
    <w:p w14:paraId="61C0E8E4" w14:textId="77777777" w:rsidR="00E34395" w:rsidRPr="00E34395" w:rsidRDefault="00E34395" w:rsidP="00E34395">
      <w:pPr>
        <w:pStyle w:val="ListParagraph"/>
        <w:rPr>
          <w:rFonts w:ascii="Arial" w:eastAsia="MS Mincho" w:hAnsi="Arial" w:cs="Times New Roman"/>
          <w:szCs w:val="24"/>
        </w:rPr>
      </w:pPr>
    </w:p>
    <w:p w14:paraId="4FD512C8" w14:textId="67C5DF20" w:rsidR="00E34395" w:rsidRDefault="00BF7512" w:rsidP="00F5671F">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 xml:space="preserve">In view of the reasons outlined hereinbefore, the Court </w:t>
      </w:r>
      <w:r w:rsidR="008622C7">
        <w:rPr>
          <w:rFonts w:ascii="Arial" w:eastAsia="MS Mincho" w:hAnsi="Arial" w:cs="Times New Roman"/>
          <w:szCs w:val="24"/>
        </w:rPr>
        <w:t xml:space="preserve">finds the Application for Review inadmissible and accordingly </w:t>
      </w:r>
      <w:r w:rsidR="00A718E4">
        <w:rPr>
          <w:rFonts w:ascii="Arial" w:eastAsia="MS Mincho" w:hAnsi="Arial" w:cs="Times New Roman"/>
          <w:szCs w:val="24"/>
        </w:rPr>
        <w:t xml:space="preserve">dismisses </w:t>
      </w:r>
      <w:r w:rsidR="008622C7">
        <w:rPr>
          <w:rFonts w:ascii="Arial" w:eastAsia="MS Mincho" w:hAnsi="Arial" w:cs="Times New Roman"/>
          <w:szCs w:val="24"/>
        </w:rPr>
        <w:t>it</w:t>
      </w:r>
      <w:r w:rsidR="00A718E4">
        <w:rPr>
          <w:rFonts w:ascii="Arial" w:eastAsia="MS Mincho" w:hAnsi="Arial" w:cs="Times New Roman"/>
          <w:szCs w:val="24"/>
        </w:rPr>
        <w:t>.</w:t>
      </w:r>
    </w:p>
    <w:p w14:paraId="7D78DC93" w14:textId="77777777" w:rsidR="00F5671F" w:rsidRPr="00F5671F" w:rsidRDefault="00F5671F" w:rsidP="00F5671F">
      <w:pPr>
        <w:pStyle w:val="ListParagraph"/>
        <w:rPr>
          <w:rFonts w:ascii="Arial" w:eastAsia="MS Mincho" w:hAnsi="Arial" w:cs="Times New Roman"/>
          <w:szCs w:val="24"/>
        </w:rPr>
      </w:pPr>
    </w:p>
    <w:p w14:paraId="2E2F3A8F" w14:textId="77777777" w:rsidR="00492910" w:rsidRPr="006A35A7" w:rsidRDefault="00492910" w:rsidP="00037E77">
      <w:pPr>
        <w:pStyle w:val="Heading1"/>
        <w:numPr>
          <w:ilvl w:val="0"/>
          <w:numId w:val="25"/>
        </w:numPr>
        <w:rPr>
          <w:rFonts w:ascii="Arial" w:eastAsia="MS Mincho" w:hAnsi="Arial" w:cs="Arial"/>
          <w:b/>
          <w:color w:val="auto"/>
          <w:sz w:val="24"/>
          <w:szCs w:val="24"/>
        </w:rPr>
      </w:pPr>
      <w:bookmarkStart w:id="5" w:name="_Toc22808161"/>
      <w:r w:rsidRPr="006A35A7">
        <w:rPr>
          <w:rFonts w:ascii="Arial" w:eastAsia="MS Mincho" w:hAnsi="Arial" w:cs="Arial"/>
          <w:b/>
          <w:color w:val="auto"/>
          <w:sz w:val="24"/>
          <w:szCs w:val="24"/>
        </w:rPr>
        <w:t>COSTS</w:t>
      </w:r>
      <w:bookmarkEnd w:id="5"/>
    </w:p>
    <w:p w14:paraId="64E642EF" w14:textId="77777777" w:rsidR="00492910" w:rsidRPr="003E1FFD" w:rsidRDefault="00492910" w:rsidP="00B32C37">
      <w:pPr>
        <w:spacing w:after="0" w:line="360" w:lineRule="auto"/>
        <w:jc w:val="both"/>
        <w:rPr>
          <w:rFonts w:ascii="Arial" w:eastAsia="MS Mincho" w:hAnsi="Arial" w:cs="Times New Roman"/>
          <w:szCs w:val="24"/>
        </w:rPr>
      </w:pPr>
    </w:p>
    <w:p w14:paraId="70A2B37F" w14:textId="2F0BE876" w:rsidR="00492910" w:rsidRPr="009202FC" w:rsidRDefault="009202FC" w:rsidP="009202FC">
      <w:pPr>
        <w:pStyle w:val="ListParagraph"/>
        <w:numPr>
          <w:ilvl w:val="0"/>
          <w:numId w:val="3"/>
        </w:numPr>
        <w:spacing w:after="0" w:line="360" w:lineRule="auto"/>
        <w:jc w:val="both"/>
        <w:rPr>
          <w:rFonts w:ascii="Arial" w:eastAsia="MS Mincho" w:hAnsi="Arial" w:cs="Times New Roman"/>
          <w:szCs w:val="24"/>
        </w:rPr>
      </w:pPr>
      <w:r w:rsidRPr="009202FC">
        <w:rPr>
          <w:rFonts w:ascii="Arial" w:eastAsia="MS Mincho" w:hAnsi="Arial" w:cs="Arial"/>
          <w:szCs w:val="24"/>
        </w:rPr>
        <w:lastRenderedPageBreak/>
        <w:t>The Court</w:t>
      </w:r>
      <w:r>
        <w:rPr>
          <w:rFonts w:ascii="Arial" w:eastAsia="MS Mincho" w:hAnsi="Arial" w:cs="Arial"/>
          <w:szCs w:val="24"/>
        </w:rPr>
        <w:t xml:space="preserve"> </w:t>
      </w:r>
      <w:r w:rsidRPr="009202FC">
        <w:rPr>
          <w:rFonts w:ascii="Arial" w:eastAsia="MS Mincho" w:hAnsi="Arial" w:cs="Arial"/>
          <w:szCs w:val="24"/>
        </w:rPr>
        <w:t>recalls that in terms of Rule 30 of the Rules</w:t>
      </w:r>
      <w:r w:rsidR="00995FC1">
        <w:rPr>
          <w:rFonts w:ascii="Arial" w:eastAsia="MS Mincho" w:hAnsi="Arial" w:cs="Arial"/>
          <w:szCs w:val="24"/>
        </w:rPr>
        <w:t>,</w:t>
      </w:r>
      <w:r w:rsidRPr="009202FC">
        <w:rPr>
          <w:rFonts w:ascii="Arial" w:eastAsia="MS Mincho" w:hAnsi="Arial" w:cs="Arial"/>
          <w:szCs w:val="24"/>
        </w:rPr>
        <w:t xml:space="preserve"> “</w:t>
      </w:r>
      <w:r w:rsidRPr="009202FC">
        <w:rPr>
          <w:rFonts w:ascii="Arial" w:eastAsia="MS Mincho" w:hAnsi="Arial" w:cs="Arial"/>
          <w:sz w:val="22"/>
        </w:rPr>
        <w:t>unless otherwise decided by the Court, each party shall bear its own costs</w:t>
      </w:r>
      <w:r w:rsidRPr="009202FC">
        <w:rPr>
          <w:rFonts w:ascii="Arial" w:eastAsia="MS Mincho" w:hAnsi="Arial" w:cs="Arial"/>
          <w:szCs w:val="24"/>
        </w:rPr>
        <w:t>.” In the present case, the Court</w:t>
      </w:r>
      <w:r w:rsidR="0031005B">
        <w:rPr>
          <w:rFonts w:ascii="Arial" w:eastAsia="MS Mincho" w:hAnsi="Arial" w:cs="Arial"/>
          <w:szCs w:val="24"/>
        </w:rPr>
        <w:t>,</w:t>
      </w:r>
      <w:r w:rsidRPr="009202FC">
        <w:rPr>
          <w:rFonts w:ascii="Arial" w:eastAsia="MS Mincho" w:hAnsi="Arial" w:cs="Arial"/>
          <w:szCs w:val="24"/>
        </w:rPr>
        <w:t xml:space="preserve"> </w:t>
      </w:r>
      <w:r w:rsidR="00A74B8B">
        <w:rPr>
          <w:rFonts w:ascii="Arial" w:eastAsia="MS Mincho" w:hAnsi="Arial" w:cs="Arial"/>
          <w:szCs w:val="24"/>
        </w:rPr>
        <w:t>decides that each party shall bear its own costs</w:t>
      </w:r>
      <w:proofErr w:type="gramStart"/>
      <w:r w:rsidR="00A74B8B">
        <w:rPr>
          <w:rFonts w:ascii="Arial" w:eastAsia="MS Mincho" w:hAnsi="Arial" w:cs="Arial"/>
          <w:szCs w:val="24"/>
        </w:rPr>
        <w:t>.</w:t>
      </w:r>
      <w:r>
        <w:rPr>
          <w:rFonts w:ascii="Arial" w:eastAsia="MS Mincho" w:hAnsi="Arial" w:cs="Arial"/>
          <w:szCs w:val="24"/>
        </w:rPr>
        <w:t>.</w:t>
      </w:r>
      <w:proofErr w:type="gramEnd"/>
      <w:r>
        <w:rPr>
          <w:rFonts w:ascii="Arial" w:eastAsia="MS Mincho" w:hAnsi="Arial" w:cs="Arial"/>
          <w:szCs w:val="24"/>
        </w:rPr>
        <w:t xml:space="preserve"> </w:t>
      </w:r>
    </w:p>
    <w:p w14:paraId="2CCD05D3" w14:textId="77777777" w:rsidR="00492910" w:rsidRPr="003E1FFD" w:rsidRDefault="00492910" w:rsidP="00B32C37">
      <w:pPr>
        <w:spacing w:after="0" w:line="360" w:lineRule="auto"/>
        <w:jc w:val="both"/>
        <w:rPr>
          <w:rFonts w:ascii="Arial" w:eastAsia="MS Mincho" w:hAnsi="Arial" w:cs="Times New Roman"/>
          <w:szCs w:val="24"/>
        </w:rPr>
      </w:pPr>
    </w:p>
    <w:p w14:paraId="50653EB3" w14:textId="77777777" w:rsidR="00492910" w:rsidRPr="006A35A7" w:rsidRDefault="00492910" w:rsidP="00037E77">
      <w:pPr>
        <w:pStyle w:val="Heading1"/>
        <w:numPr>
          <w:ilvl w:val="0"/>
          <w:numId w:val="26"/>
        </w:numPr>
        <w:rPr>
          <w:rFonts w:ascii="Arial" w:eastAsia="MS Mincho" w:hAnsi="Arial" w:cs="Arial"/>
          <w:b/>
          <w:color w:val="auto"/>
          <w:sz w:val="24"/>
          <w:szCs w:val="24"/>
        </w:rPr>
      </w:pPr>
      <w:bookmarkStart w:id="6" w:name="_Toc22808162"/>
      <w:r w:rsidRPr="006A35A7">
        <w:rPr>
          <w:rFonts w:ascii="Arial" w:eastAsia="MS Mincho" w:hAnsi="Arial" w:cs="Arial"/>
          <w:b/>
          <w:color w:val="auto"/>
          <w:sz w:val="24"/>
          <w:szCs w:val="24"/>
        </w:rPr>
        <w:t>OPERATIVE PART</w:t>
      </w:r>
      <w:bookmarkEnd w:id="6"/>
    </w:p>
    <w:p w14:paraId="57234B11" w14:textId="77777777" w:rsidR="00492910" w:rsidRPr="003E1FFD" w:rsidRDefault="00492910" w:rsidP="00B32C37">
      <w:pPr>
        <w:spacing w:after="0" w:line="360" w:lineRule="auto"/>
        <w:jc w:val="both"/>
        <w:rPr>
          <w:rFonts w:ascii="Arial" w:eastAsia="MS Mincho" w:hAnsi="Arial" w:cs="Times New Roman"/>
          <w:szCs w:val="24"/>
        </w:rPr>
      </w:pPr>
    </w:p>
    <w:p w14:paraId="0003B68D" w14:textId="77777777" w:rsidR="00492910" w:rsidRDefault="00FD70EC" w:rsidP="00FD70EC">
      <w:pPr>
        <w:pStyle w:val="ListParagraph"/>
        <w:numPr>
          <w:ilvl w:val="0"/>
          <w:numId w:val="3"/>
        </w:numPr>
        <w:spacing w:after="0" w:line="360" w:lineRule="auto"/>
        <w:jc w:val="both"/>
        <w:rPr>
          <w:rFonts w:ascii="Arial" w:eastAsia="MS Mincho" w:hAnsi="Arial" w:cs="Times New Roman"/>
          <w:szCs w:val="24"/>
        </w:rPr>
      </w:pPr>
      <w:r>
        <w:rPr>
          <w:rFonts w:ascii="Arial" w:eastAsia="MS Mincho" w:hAnsi="Arial" w:cs="Times New Roman"/>
          <w:szCs w:val="24"/>
        </w:rPr>
        <w:t>For these reasons</w:t>
      </w:r>
    </w:p>
    <w:p w14:paraId="297EFDDD" w14:textId="77777777" w:rsidR="00FD70EC" w:rsidRDefault="00FD70EC" w:rsidP="00FD70EC">
      <w:pPr>
        <w:pStyle w:val="ListParagraph"/>
        <w:spacing w:after="0" w:line="360" w:lineRule="auto"/>
        <w:jc w:val="both"/>
        <w:rPr>
          <w:rFonts w:ascii="Arial" w:eastAsia="MS Mincho" w:hAnsi="Arial" w:cs="Times New Roman"/>
          <w:szCs w:val="24"/>
        </w:rPr>
      </w:pPr>
    </w:p>
    <w:p w14:paraId="07DDDB6F" w14:textId="7CA39323" w:rsidR="00FD70EC" w:rsidRDefault="00FD70EC" w:rsidP="00FD70EC">
      <w:pPr>
        <w:pStyle w:val="ListParagraph"/>
        <w:spacing w:after="0" w:line="360" w:lineRule="auto"/>
        <w:jc w:val="both"/>
        <w:rPr>
          <w:rFonts w:ascii="Arial" w:eastAsia="MS Mincho" w:hAnsi="Arial" w:cs="Times New Roman"/>
          <w:szCs w:val="24"/>
        </w:rPr>
      </w:pPr>
      <w:r>
        <w:rPr>
          <w:rFonts w:ascii="Arial" w:eastAsia="MS Mincho" w:hAnsi="Arial" w:cs="Times New Roman"/>
          <w:szCs w:val="24"/>
        </w:rPr>
        <w:t>THE COURT</w:t>
      </w:r>
      <w:r w:rsidR="00A718E4">
        <w:rPr>
          <w:rFonts w:ascii="Arial" w:eastAsia="MS Mincho" w:hAnsi="Arial" w:cs="Times New Roman"/>
          <w:szCs w:val="24"/>
        </w:rPr>
        <w:t>,</w:t>
      </w:r>
    </w:p>
    <w:p w14:paraId="6537F1F3" w14:textId="2FEE993E" w:rsidR="00FD70EC" w:rsidRDefault="00A718E4" w:rsidP="00FD70EC">
      <w:pPr>
        <w:pStyle w:val="ListParagraph"/>
        <w:spacing w:after="0" w:line="360" w:lineRule="auto"/>
        <w:jc w:val="both"/>
        <w:rPr>
          <w:rFonts w:ascii="Arial" w:eastAsia="MS Mincho" w:hAnsi="Arial" w:cs="Times New Roman"/>
          <w:szCs w:val="24"/>
        </w:rPr>
      </w:pPr>
      <w:r>
        <w:rPr>
          <w:rFonts w:ascii="Arial" w:eastAsia="MS Mincho" w:hAnsi="Arial" w:cs="Times New Roman"/>
          <w:szCs w:val="24"/>
        </w:rPr>
        <w:t xml:space="preserve">Unanimously: </w:t>
      </w:r>
    </w:p>
    <w:p w14:paraId="2E49D773" w14:textId="77777777" w:rsidR="00FD70EC" w:rsidRPr="007D5F77" w:rsidRDefault="00FD70EC" w:rsidP="00FD70EC">
      <w:pPr>
        <w:pStyle w:val="ListParagraph"/>
        <w:spacing w:after="0" w:line="360" w:lineRule="auto"/>
        <w:jc w:val="both"/>
        <w:rPr>
          <w:rFonts w:ascii="Arial" w:eastAsia="MS Mincho" w:hAnsi="Arial" w:cs="Times New Roman"/>
          <w:szCs w:val="24"/>
        </w:rPr>
      </w:pPr>
    </w:p>
    <w:p w14:paraId="61DB229A" w14:textId="665288EB" w:rsidR="00FD70EC" w:rsidRDefault="00543ECC" w:rsidP="007F162A">
      <w:pPr>
        <w:pStyle w:val="ListParagraph"/>
        <w:numPr>
          <w:ilvl w:val="0"/>
          <w:numId w:val="23"/>
        </w:numPr>
        <w:spacing w:after="0" w:line="360" w:lineRule="auto"/>
        <w:jc w:val="both"/>
        <w:rPr>
          <w:rFonts w:ascii="Arial" w:eastAsia="MS Mincho" w:hAnsi="Arial" w:cs="Times New Roman"/>
          <w:szCs w:val="24"/>
        </w:rPr>
      </w:pPr>
      <w:r w:rsidRPr="007D5F77">
        <w:rPr>
          <w:rFonts w:ascii="Arial" w:eastAsia="MS Mincho" w:hAnsi="Arial" w:cs="Times New Roman"/>
          <w:i/>
          <w:szCs w:val="24"/>
        </w:rPr>
        <w:t xml:space="preserve">Declares </w:t>
      </w:r>
      <w:r w:rsidRPr="007D5F77">
        <w:rPr>
          <w:rFonts w:ascii="Arial" w:eastAsia="MS Mincho" w:hAnsi="Arial" w:cs="Times New Roman"/>
          <w:szCs w:val="24"/>
        </w:rPr>
        <w:t xml:space="preserve">that the </w:t>
      </w:r>
      <w:r w:rsidR="00A718E4">
        <w:rPr>
          <w:rFonts w:ascii="Arial" w:eastAsia="MS Mincho" w:hAnsi="Arial" w:cs="Times New Roman"/>
          <w:szCs w:val="24"/>
        </w:rPr>
        <w:t>information submitted by the Applicants does not constitute new “evidence”</w:t>
      </w:r>
      <w:r w:rsidRPr="007D5F77">
        <w:rPr>
          <w:rFonts w:ascii="Arial" w:eastAsia="MS Mincho" w:hAnsi="Arial" w:cs="Times New Roman"/>
          <w:szCs w:val="24"/>
        </w:rPr>
        <w:t>;</w:t>
      </w:r>
      <w:r w:rsidR="004F67C7" w:rsidRPr="007D5F77">
        <w:rPr>
          <w:rFonts w:ascii="Arial" w:eastAsia="MS Mincho" w:hAnsi="Arial" w:cs="Times New Roman"/>
          <w:szCs w:val="24"/>
        </w:rPr>
        <w:t xml:space="preserve"> </w:t>
      </w:r>
    </w:p>
    <w:p w14:paraId="5330FEF0" w14:textId="554D3382" w:rsidR="00A718E4" w:rsidRPr="007D5F77" w:rsidRDefault="00A718E4" w:rsidP="007F162A">
      <w:pPr>
        <w:pStyle w:val="ListParagraph"/>
        <w:numPr>
          <w:ilvl w:val="0"/>
          <w:numId w:val="23"/>
        </w:numPr>
        <w:spacing w:after="0" w:line="360" w:lineRule="auto"/>
        <w:jc w:val="both"/>
        <w:rPr>
          <w:rFonts w:ascii="Arial" w:eastAsia="MS Mincho" w:hAnsi="Arial" w:cs="Times New Roman"/>
          <w:szCs w:val="24"/>
        </w:rPr>
      </w:pPr>
      <w:r>
        <w:rPr>
          <w:rFonts w:ascii="Arial" w:eastAsia="MS Mincho" w:hAnsi="Arial" w:cs="Times New Roman"/>
          <w:i/>
          <w:szCs w:val="24"/>
        </w:rPr>
        <w:t xml:space="preserve">Dismisses </w:t>
      </w:r>
      <w:r>
        <w:rPr>
          <w:rFonts w:ascii="Arial" w:eastAsia="MS Mincho" w:hAnsi="Arial" w:cs="Times New Roman"/>
          <w:szCs w:val="24"/>
        </w:rPr>
        <w:t>the Application for Review.</w:t>
      </w:r>
    </w:p>
    <w:p w14:paraId="2ECB6741" w14:textId="324133F3" w:rsidR="0060658F" w:rsidRPr="00FE4ABB" w:rsidRDefault="00543ECC" w:rsidP="007F162A">
      <w:pPr>
        <w:spacing w:after="0" w:line="360" w:lineRule="auto"/>
        <w:jc w:val="both"/>
        <w:rPr>
          <w:rFonts w:ascii="Arial" w:eastAsia="MS Mincho" w:hAnsi="Arial" w:cs="Times New Roman"/>
          <w:szCs w:val="24"/>
        </w:rPr>
      </w:pPr>
      <w:r w:rsidRPr="00FE4ABB">
        <w:rPr>
          <w:rFonts w:ascii="Arial" w:eastAsia="MS Mincho" w:hAnsi="Arial" w:cs="Times New Roman"/>
          <w:szCs w:val="24"/>
        </w:rPr>
        <w:tab/>
      </w:r>
    </w:p>
    <w:p w14:paraId="0A72ACC6" w14:textId="1E107BD3" w:rsidR="00543ECC" w:rsidRPr="007D5F77" w:rsidRDefault="00543ECC" w:rsidP="007F162A">
      <w:pPr>
        <w:spacing w:after="0" w:line="360" w:lineRule="auto"/>
        <w:jc w:val="both"/>
        <w:rPr>
          <w:rFonts w:ascii="Arial" w:eastAsia="MS Mincho" w:hAnsi="Arial" w:cs="Times New Roman"/>
          <w:szCs w:val="24"/>
        </w:rPr>
      </w:pPr>
      <w:r w:rsidRPr="007D5F77">
        <w:rPr>
          <w:rFonts w:ascii="Arial" w:eastAsia="MS Mincho" w:hAnsi="Arial" w:cs="Times New Roman"/>
          <w:szCs w:val="24"/>
        </w:rPr>
        <w:tab/>
        <w:t>On costs</w:t>
      </w:r>
    </w:p>
    <w:p w14:paraId="26C0482D" w14:textId="77777777" w:rsidR="002865B1" w:rsidRPr="00FE4ABB" w:rsidRDefault="002865B1" w:rsidP="00FE4ABB">
      <w:pPr>
        <w:spacing w:after="0" w:line="360" w:lineRule="auto"/>
        <w:jc w:val="both"/>
        <w:rPr>
          <w:rFonts w:ascii="Arial" w:eastAsia="MS Mincho" w:hAnsi="Arial" w:cs="Times New Roman"/>
          <w:szCs w:val="24"/>
        </w:rPr>
      </w:pPr>
    </w:p>
    <w:p w14:paraId="399DA331" w14:textId="72CACA0B" w:rsidR="002865B1" w:rsidRPr="007D5F77" w:rsidRDefault="00DA6B6E" w:rsidP="007F162A">
      <w:pPr>
        <w:pStyle w:val="ListParagraph"/>
        <w:numPr>
          <w:ilvl w:val="0"/>
          <w:numId w:val="23"/>
        </w:numPr>
        <w:spacing w:after="0" w:line="360" w:lineRule="auto"/>
        <w:rPr>
          <w:rFonts w:ascii="Arial" w:eastAsia="MS Mincho" w:hAnsi="Arial" w:cs="Times New Roman"/>
          <w:szCs w:val="24"/>
        </w:rPr>
      </w:pPr>
      <w:r w:rsidRPr="007D5F77">
        <w:rPr>
          <w:rFonts w:ascii="Arial" w:eastAsia="MS Mincho" w:hAnsi="Arial" w:cs="Times New Roman"/>
          <w:i/>
          <w:szCs w:val="24"/>
        </w:rPr>
        <w:t>Orders</w:t>
      </w:r>
      <w:r w:rsidRPr="007D5F77">
        <w:rPr>
          <w:rFonts w:ascii="Arial" w:eastAsia="MS Mincho" w:hAnsi="Arial" w:cs="Times New Roman"/>
          <w:szCs w:val="24"/>
        </w:rPr>
        <w:t xml:space="preserve"> that e</w:t>
      </w:r>
      <w:r w:rsidR="00A74B8B" w:rsidRPr="007D5F77">
        <w:rPr>
          <w:rFonts w:ascii="Arial" w:eastAsia="MS Mincho" w:hAnsi="Arial" w:cs="Times New Roman"/>
          <w:szCs w:val="24"/>
        </w:rPr>
        <w:t xml:space="preserve">ach party </w:t>
      </w:r>
      <w:r w:rsidRPr="007D5F77">
        <w:rPr>
          <w:rFonts w:ascii="Arial" w:eastAsia="MS Mincho" w:hAnsi="Arial" w:cs="Times New Roman"/>
          <w:szCs w:val="24"/>
        </w:rPr>
        <w:t>shall</w:t>
      </w:r>
      <w:r w:rsidR="00A74B8B" w:rsidRPr="007D5F77">
        <w:rPr>
          <w:rFonts w:ascii="Arial" w:eastAsia="MS Mincho" w:hAnsi="Arial" w:cs="Times New Roman"/>
          <w:szCs w:val="24"/>
        </w:rPr>
        <w:t xml:space="preserve"> bear its own cost</w:t>
      </w:r>
      <w:r w:rsidRPr="007D5F77">
        <w:rPr>
          <w:rFonts w:ascii="Arial" w:eastAsia="MS Mincho" w:hAnsi="Arial" w:cs="Times New Roman"/>
          <w:szCs w:val="24"/>
        </w:rPr>
        <w:t>s</w:t>
      </w:r>
    </w:p>
    <w:p w14:paraId="7120AC68" w14:textId="77777777" w:rsidR="00583D9B" w:rsidRPr="00FE4ABB" w:rsidRDefault="00583D9B" w:rsidP="00FE4ABB">
      <w:pPr>
        <w:spacing w:after="0" w:line="360" w:lineRule="auto"/>
        <w:jc w:val="both"/>
        <w:rPr>
          <w:rFonts w:ascii="Arial" w:eastAsia="MS Mincho" w:hAnsi="Arial" w:cs="Times New Roman"/>
          <w:szCs w:val="24"/>
        </w:rPr>
      </w:pPr>
    </w:p>
    <w:p w14:paraId="748F745C" w14:textId="77777777" w:rsidR="00FE4ABB" w:rsidRPr="00FE4ABB" w:rsidRDefault="00FE4ABB" w:rsidP="00FE4ABB">
      <w:pPr>
        <w:spacing w:after="0" w:line="360" w:lineRule="auto"/>
        <w:jc w:val="both"/>
        <w:rPr>
          <w:rFonts w:ascii="Arial" w:eastAsia="MS Mincho" w:hAnsi="Arial" w:cs="Times New Roman"/>
          <w:szCs w:val="24"/>
        </w:rPr>
      </w:pPr>
    </w:p>
    <w:p w14:paraId="4C450560" w14:textId="77777777" w:rsidR="00A1042D" w:rsidRPr="00A1042D" w:rsidRDefault="00A1042D" w:rsidP="006A35A7">
      <w:pPr>
        <w:spacing w:line="360" w:lineRule="auto"/>
        <w:ind w:firstLine="720"/>
        <w:rPr>
          <w:rFonts w:ascii="Arial" w:hAnsi="Arial" w:cs="Arial"/>
          <w:b/>
          <w:szCs w:val="24"/>
        </w:rPr>
      </w:pPr>
      <w:r w:rsidRPr="00A1042D">
        <w:rPr>
          <w:rFonts w:ascii="Arial" w:hAnsi="Arial" w:cs="Arial"/>
          <w:b/>
          <w:szCs w:val="24"/>
        </w:rPr>
        <w:t>Signed:</w:t>
      </w:r>
    </w:p>
    <w:p w14:paraId="182A2257" w14:textId="6A25216A" w:rsidR="00A718E4" w:rsidRPr="00A718E4" w:rsidRDefault="00A718E4" w:rsidP="00A718E4">
      <w:pPr>
        <w:spacing w:line="360" w:lineRule="auto"/>
        <w:jc w:val="both"/>
        <w:rPr>
          <w:rFonts w:ascii="Arial" w:hAnsi="Arial" w:cs="Arial"/>
          <w:szCs w:val="24"/>
        </w:rPr>
      </w:pPr>
      <w:proofErr w:type="spellStart"/>
      <w:r w:rsidRPr="00A718E4">
        <w:rPr>
          <w:rFonts w:ascii="Arial" w:hAnsi="Arial" w:cs="Arial"/>
          <w:szCs w:val="24"/>
        </w:rPr>
        <w:t>Rafaâ</w:t>
      </w:r>
      <w:proofErr w:type="spellEnd"/>
      <w:r w:rsidRPr="00A718E4">
        <w:rPr>
          <w:rFonts w:ascii="Arial" w:hAnsi="Arial" w:cs="Arial"/>
          <w:szCs w:val="24"/>
        </w:rPr>
        <w:t xml:space="preserve"> BEN ACHOUR, </w:t>
      </w:r>
      <w:r w:rsidR="009C63B5">
        <w:rPr>
          <w:rFonts w:ascii="Arial" w:hAnsi="Arial" w:cs="Arial"/>
          <w:szCs w:val="24"/>
        </w:rPr>
        <w:t xml:space="preserve">(Dean of </w:t>
      </w:r>
      <w:r w:rsidRPr="00A718E4">
        <w:rPr>
          <w:rFonts w:ascii="Arial" w:hAnsi="Arial" w:cs="Arial"/>
          <w:szCs w:val="24"/>
        </w:rPr>
        <w:t>Judge</w:t>
      </w:r>
      <w:r w:rsidR="009C63B5">
        <w:rPr>
          <w:rFonts w:ascii="Arial" w:hAnsi="Arial" w:cs="Arial"/>
          <w:szCs w:val="24"/>
        </w:rPr>
        <w:t>s)</w:t>
      </w:r>
      <w:r w:rsidRPr="00A718E4">
        <w:rPr>
          <w:rFonts w:ascii="Arial" w:hAnsi="Arial" w:cs="Arial"/>
          <w:szCs w:val="24"/>
        </w:rPr>
        <w:t>;</w:t>
      </w:r>
    </w:p>
    <w:p w14:paraId="6CE5C081" w14:textId="77777777" w:rsidR="00A718E4" w:rsidRPr="00A718E4" w:rsidRDefault="00A718E4" w:rsidP="00A718E4">
      <w:pPr>
        <w:spacing w:line="360" w:lineRule="auto"/>
        <w:jc w:val="both"/>
        <w:rPr>
          <w:rFonts w:ascii="Arial" w:hAnsi="Arial" w:cs="Arial"/>
          <w:szCs w:val="24"/>
        </w:rPr>
      </w:pPr>
      <w:proofErr w:type="gramStart"/>
      <w:r w:rsidRPr="00A718E4">
        <w:rPr>
          <w:rFonts w:ascii="Arial" w:hAnsi="Arial" w:cs="Arial"/>
          <w:szCs w:val="24"/>
        </w:rPr>
        <w:t>and</w:t>
      </w:r>
      <w:proofErr w:type="gramEnd"/>
    </w:p>
    <w:p w14:paraId="451714C4" w14:textId="77777777" w:rsidR="00A718E4" w:rsidRPr="00A718E4" w:rsidRDefault="00A718E4" w:rsidP="00A718E4">
      <w:pPr>
        <w:spacing w:line="360" w:lineRule="auto"/>
        <w:jc w:val="both"/>
        <w:rPr>
          <w:rFonts w:ascii="Arial" w:hAnsi="Arial" w:cs="Arial"/>
          <w:b/>
          <w:szCs w:val="24"/>
        </w:rPr>
      </w:pPr>
      <w:r w:rsidRPr="00A718E4">
        <w:rPr>
          <w:rFonts w:ascii="Arial" w:hAnsi="Arial" w:cs="Arial"/>
          <w:szCs w:val="24"/>
        </w:rPr>
        <w:t xml:space="preserve"> Robert ENO, Registrar.</w:t>
      </w:r>
    </w:p>
    <w:p w14:paraId="22C570DA" w14:textId="77777777" w:rsidR="00A718E4" w:rsidRDefault="00A718E4" w:rsidP="00AF0977">
      <w:pPr>
        <w:spacing w:line="360" w:lineRule="auto"/>
        <w:jc w:val="both"/>
        <w:rPr>
          <w:rFonts w:ascii="Arial" w:hAnsi="Arial" w:cs="Arial"/>
          <w:szCs w:val="24"/>
        </w:rPr>
      </w:pPr>
    </w:p>
    <w:p w14:paraId="3C196FD8" w14:textId="7DABCF91" w:rsidR="00A73E32" w:rsidRPr="007D5F77" w:rsidRDefault="00A1042D" w:rsidP="00AF0977">
      <w:pPr>
        <w:spacing w:line="360" w:lineRule="auto"/>
        <w:jc w:val="both"/>
        <w:rPr>
          <w:rFonts w:ascii="Arial" w:hAnsi="Arial" w:cs="Arial"/>
          <w:szCs w:val="24"/>
        </w:rPr>
      </w:pPr>
      <w:r w:rsidRPr="007D5F77">
        <w:rPr>
          <w:rFonts w:ascii="Arial" w:hAnsi="Arial" w:cs="Arial"/>
          <w:szCs w:val="24"/>
        </w:rPr>
        <w:t>Done at Arusha, this</w:t>
      </w:r>
      <w:r w:rsidR="002A17D6">
        <w:rPr>
          <w:rFonts w:ascii="Arial" w:hAnsi="Arial" w:cs="Arial"/>
          <w:szCs w:val="24"/>
        </w:rPr>
        <w:tab/>
      </w:r>
      <w:r w:rsidR="002A17D6">
        <w:rPr>
          <w:rFonts w:ascii="Arial" w:hAnsi="Arial" w:cs="Arial"/>
          <w:szCs w:val="24"/>
        </w:rPr>
        <w:tab/>
      </w:r>
      <w:r w:rsidR="00F642EB" w:rsidRPr="007D5F77">
        <w:rPr>
          <w:rFonts w:ascii="Arial" w:hAnsi="Arial" w:cs="Arial"/>
          <w:szCs w:val="24"/>
        </w:rPr>
        <w:t>Day</w:t>
      </w:r>
      <w:r w:rsidRPr="007D5F77">
        <w:rPr>
          <w:rFonts w:ascii="Arial" w:hAnsi="Arial" w:cs="Arial"/>
          <w:szCs w:val="24"/>
        </w:rPr>
        <w:t xml:space="preserve"> of the month of</w:t>
      </w:r>
      <w:r w:rsidR="00A718E4">
        <w:rPr>
          <w:rFonts w:ascii="Arial" w:hAnsi="Arial" w:cs="Arial"/>
          <w:szCs w:val="24"/>
        </w:rPr>
        <w:t xml:space="preserve"> </w:t>
      </w:r>
      <w:r w:rsidR="001A09C8">
        <w:rPr>
          <w:rFonts w:ascii="Arial" w:hAnsi="Arial" w:cs="Arial"/>
          <w:szCs w:val="24"/>
        </w:rPr>
        <w:t>October</w:t>
      </w:r>
      <w:bookmarkStart w:id="7" w:name="_GoBack"/>
      <w:bookmarkEnd w:id="7"/>
      <w:r w:rsidR="00A718E4">
        <w:rPr>
          <w:rFonts w:ascii="Arial" w:hAnsi="Arial" w:cs="Arial"/>
          <w:szCs w:val="24"/>
        </w:rPr>
        <w:t xml:space="preserve"> </w:t>
      </w:r>
      <w:r w:rsidRPr="007D5F77">
        <w:rPr>
          <w:rFonts w:ascii="Arial" w:hAnsi="Arial" w:cs="Arial"/>
          <w:szCs w:val="24"/>
        </w:rPr>
        <w:t>in the year Two Thousand and Nineteen, in English and French, the English text being authoritative.</w:t>
      </w:r>
    </w:p>
    <w:sectPr w:rsidR="00A73E32" w:rsidRPr="007D5F77" w:rsidSect="00DE514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D0F1" w14:textId="77777777" w:rsidR="009B2829" w:rsidRDefault="009B2829" w:rsidP="00EB32E1">
      <w:pPr>
        <w:spacing w:after="0" w:line="240" w:lineRule="auto"/>
      </w:pPr>
      <w:r>
        <w:separator/>
      </w:r>
    </w:p>
  </w:endnote>
  <w:endnote w:type="continuationSeparator" w:id="0">
    <w:p w14:paraId="643D9BD8" w14:textId="77777777" w:rsidR="009B2829" w:rsidRDefault="009B2829" w:rsidP="00EB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1833"/>
      <w:docPartObj>
        <w:docPartGallery w:val="Page Numbers (Bottom of Page)"/>
        <w:docPartUnique/>
      </w:docPartObj>
    </w:sdtPr>
    <w:sdtEndPr>
      <w:rPr>
        <w:noProof/>
      </w:rPr>
    </w:sdtEndPr>
    <w:sdtContent>
      <w:p w14:paraId="595FFF00" w14:textId="262B5933" w:rsidR="00563846" w:rsidRDefault="00563846">
        <w:pPr>
          <w:pStyle w:val="Footer"/>
          <w:jc w:val="center"/>
        </w:pPr>
        <w:r>
          <w:fldChar w:fldCharType="begin"/>
        </w:r>
        <w:r>
          <w:instrText xml:space="preserve"> PAGE   \* MERGEFORMAT </w:instrText>
        </w:r>
        <w:r>
          <w:fldChar w:fldCharType="separate"/>
        </w:r>
        <w:r w:rsidR="001A09C8">
          <w:rPr>
            <w:noProof/>
          </w:rPr>
          <w:t>7</w:t>
        </w:r>
        <w:r>
          <w:rPr>
            <w:noProof/>
          </w:rPr>
          <w:fldChar w:fldCharType="end"/>
        </w:r>
      </w:p>
    </w:sdtContent>
  </w:sdt>
  <w:p w14:paraId="2FC59185" w14:textId="77777777" w:rsidR="00563846" w:rsidRDefault="0056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9AAE2" w14:textId="77777777" w:rsidR="009B2829" w:rsidRDefault="009B2829" w:rsidP="00EB32E1">
      <w:pPr>
        <w:spacing w:after="0" w:line="240" w:lineRule="auto"/>
      </w:pPr>
      <w:r>
        <w:separator/>
      </w:r>
    </w:p>
  </w:footnote>
  <w:footnote w:type="continuationSeparator" w:id="0">
    <w:p w14:paraId="10B85677" w14:textId="77777777" w:rsidR="009B2829" w:rsidRDefault="009B2829" w:rsidP="00EB32E1">
      <w:pPr>
        <w:spacing w:after="0" w:line="240" w:lineRule="auto"/>
      </w:pPr>
      <w:r>
        <w:continuationSeparator/>
      </w:r>
    </w:p>
  </w:footnote>
  <w:footnote w:id="1">
    <w:p w14:paraId="687E127B" w14:textId="77777777" w:rsidR="00563846" w:rsidRPr="0042199F" w:rsidRDefault="00563846" w:rsidP="0042199F">
      <w:pPr>
        <w:pStyle w:val="FootnoteText"/>
        <w:jc w:val="both"/>
        <w:rPr>
          <w:rFonts w:ascii="Arial" w:hAnsi="Arial" w:cs="Arial"/>
          <w:lang w:val="en-US"/>
        </w:rPr>
      </w:pPr>
      <w:r w:rsidRPr="0042199F">
        <w:rPr>
          <w:rStyle w:val="FootnoteReference"/>
          <w:rFonts w:ascii="Arial" w:hAnsi="Arial" w:cs="Arial"/>
        </w:rPr>
        <w:footnoteRef/>
      </w:r>
      <w:r w:rsidRPr="0042199F">
        <w:rPr>
          <w:rFonts w:ascii="Arial" w:hAnsi="Arial" w:cs="Arial"/>
        </w:rPr>
        <w:t xml:space="preserve"> </w:t>
      </w:r>
      <w:r w:rsidRPr="0042199F">
        <w:rPr>
          <w:rFonts w:ascii="Arial" w:hAnsi="Arial" w:cs="Arial"/>
          <w:lang w:val="en-US"/>
        </w:rPr>
        <w:t xml:space="preserve">Rule 67(1) and </w:t>
      </w:r>
      <w:r w:rsidRPr="0042199F">
        <w:rPr>
          <w:rFonts w:ascii="Arial" w:hAnsi="Arial" w:cs="Arial"/>
          <w:i/>
          <w:lang w:val="en-US"/>
        </w:rPr>
        <w:t xml:space="preserve">Urban </w:t>
      </w:r>
      <w:proofErr w:type="spellStart"/>
      <w:r w:rsidRPr="0042199F">
        <w:rPr>
          <w:rFonts w:ascii="Arial" w:hAnsi="Arial" w:cs="Arial"/>
          <w:i/>
          <w:lang w:val="en-US"/>
        </w:rPr>
        <w:t>Mkandawire</w:t>
      </w:r>
      <w:proofErr w:type="spellEnd"/>
      <w:r w:rsidRPr="0042199F">
        <w:rPr>
          <w:rFonts w:ascii="Arial" w:hAnsi="Arial" w:cs="Arial"/>
          <w:i/>
          <w:lang w:val="en-US"/>
        </w:rPr>
        <w:t xml:space="preserve"> v Malawi</w:t>
      </w:r>
      <w:r w:rsidRPr="0042199F">
        <w:rPr>
          <w:rFonts w:ascii="Arial" w:hAnsi="Arial" w:cs="Arial"/>
          <w:lang w:val="en-US"/>
        </w:rPr>
        <w:t xml:space="preserve"> (review and interpretation) (2014) </w:t>
      </w:r>
      <w:proofErr w:type="spellStart"/>
      <w:r w:rsidRPr="0042199F">
        <w:rPr>
          <w:rFonts w:ascii="Arial" w:hAnsi="Arial" w:cs="Arial"/>
          <w:lang w:val="en-US"/>
        </w:rPr>
        <w:t>AfCLR</w:t>
      </w:r>
      <w:proofErr w:type="spellEnd"/>
      <w:r w:rsidRPr="0042199F">
        <w:rPr>
          <w:rFonts w:ascii="Arial" w:hAnsi="Arial" w:cs="Arial"/>
          <w:lang w:val="en-US"/>
        </w:rPr>
        <w:t xml:space="preserve"> 299 </w:t>
      </w:r>
      <w:r w:rsidRPr="0042199F">
        <w:rPr>
          <w:rFonts w:ascii="Arial" w:hAnsi="Arial" w:cs="Arial"/>
        </w:rPr>
        <w:t xml:space="preserve">§ </w:t>
      </w:r>
      <w:r w:rsidRPr="0042199F">
        <w:rPr>
          <w:rFonts w:ascii="Arial" w:hAnsi="Arial" w:cs="Arial"/>
          <w:lang w:val="en-US"/>
        </w:rPr>
        <w:t xml:space="preserve"> 12</w:t>
      </w:r>
    </w:p>
  </w:footnote>
  <w:footnote w:id="2">
    <w:p w14:paraId="33A4BE5A" w14:textId="35A05557" w:rsidR="00563846" w:rsidRPr="0042199F" w:rsidRDefault="00563846" w:rsidP="0042199F">
      <w:pPr>
        <w:pStyle w:val="FootnoteText"/>
        <w:jc w:val="both"/>
        <w:rPr>
          <w:rFonts w:ascii="Arial" w:hAnsi="Arial" w:cs="Arial"/>
          <w:lang w:val="en-US"/>
        </w:rPr>
      </w:pPr>
      <w:r w:rsidRPr="0042199F">
        <w:rPr>
          <w:rStyle w:val="FootnoteReference"/>
          <w:rFonts w:ascii="Arial" w:hAnsi="Arial" w:cs="Arial"/>
        </w:rPr>
        <w:footnoteRef/>
      </w:r>
      <w:r w:rsidRPr="0042199F">
        <w:rPr>
          <w:rFonts w:ascii="Arial" w:hAnsi="Arial" w:cs="Arial"/>
        </w:rPr>
        <w:t xml:space="preserve"> </w:t>
      </w:r>
      <w:r w:rsidRPr="0042199F">
        <w:rPr>
          <w:rFonts w:ascii="Arial" w:hAnsi="Arial" w:cs="Arial"/>
          <w:lang w:val="en-US"/>
        </w:rPr>
        <w:t xml:space="preserve">Article 28(2) of the Protocol Provides as follows: The judgment of the Court decided by majority shall be final and not subject to appeal.” See, also </w:t>
      </w:r>
      <w:r w:rsidRPr="0042199F">
        <w:rPr>
          <w:rFonts w:ascii="Arial" w:hAnsi="Arial" w:cs="Arial"/>
          <w:i/>
          <w:lang w:val="en-US"/>
        </w:rPr>
        <w:t xml:space="preserve">Urban </w:t>
      </w:r>
      <w:proofErr w:type="spellStart"/>
      <w:r w:rsidRPr="0042199F">
        <w:rPr>
          <w:rFonts w:ascii="Arial" w:hAnsi="Arial" w:cs="Arial"/>
          <w:i/>
          <w:lang w:val="en-US"/>
        </w:rPr>
        <w:t>Mkandawire</w:t>
      </w:r>
      <w:proofErr w:type="spellEnd"/>
      <w:r w:rsidRPr="0042199F">
        <w:rPr>
          <w:rFonts w:ascii="Arial" w:hAnsi="Arial" w:cs="Arial"/>
          <w:i/>
          <w:lang w:val="en-US"/>
        </w:rPr>
        <w:t xml:space="preserve"> v Malawi</w:t>
      </w:r>
      <w:r w:rsidRPr="0042199F">
        <w:rPr>
          <w:rFonts w:ascii="Arial" w:hAnsi="Arial" w:cs="Arial"/>
          <w:lang w:val="en-US"/>
        </w:rPr>
        <w:t xml:space="preserve">, </w:t>
      </w:r>
      <w:r w:rsidRPr="0042199F">
        <w:rPr>
          <w:rFonts w:ascii="Arial" w:hAnsi="Arial" w:cs="Arial"/>
          <w:i/>
          <w:lang w:val="en-US"/>
        </w:rPr>
        <w:t>supra</w:t>
      </w:r>
      <w:r w:rsidRPr="0042199F">
        <w:rPr>
          <w:rFonts w:ascii="Arial" w:hAnsi="Arial" w:cs="Arial"/>
          <w:lang w:val="en-US"/>
        </w:rPr>
        <w:t xml:space="preserve">, </w:t>
      </w:r>
      <w:r w:rsidRPr="0042199F">
        <w:rPr>
          <w:rFonts w:ascii="Arial" w:hAnsi="Arial" w:cs="Arial"/>
        </w:rPr>
        <w:t>§ 14.</w:t>
      </w:r>
    </w:p>
  </w:footnote>
  <w:footnote w:id="3">
    <w:p w14:paraId="3168025E" w14:textId="6C06C8D9" w:rsidR="00563846" w:rsidRPr="0042199F" w:rsidRDefault="00563846" w:rsidP="0042199F">
      <w:pPr>
        <w:pStyle w:val="FootnoteText"/>
        <w:jc w:val="both"/>
        <w:rPr>
          <w:rFonts w:ascii="Arial" w:hAnsi="Arial" w:cs="Arial"/>
          <w:lang w:val="en-US"/>
        </w:rPr>
      </w:pPr>
      <w:r w:rsidRPr="0042199F">
        <w:rPr>
          <w:rStyle w:val="FootnoteReference"/>
          <w:rFonts w:ascii="Arial" w:hAnsi="Arial" w:cs="Arial"/>
        </w:rPr>
        <w:footnoteRef/>
      </w:r>
      <w:r w:rsidRPr="0042199F">
        <w:rPr>
          <w:rFonts w:ascii="Arial" w:hAnsi="Arial" w:cs="Arial"/>
        </w:rPr>
        <w:t xml:space="preserve"> </w:t>
      </w:r>
      <w:r w:rsidRPr="0042199F">
        <w:rPr>
          <w:rFonts w:ascii="Arial" w:hAnsi="Arial" w:cs="Arial"/>
          <w:lang w:val="en-US"/>
        </w:rPr>
        <w:t xml:space="preserve">Application No. 002/2018. Judgment of 4/07/2019 (Review), </w:t>
      </w:r>
      <w:proofErr w:type="spellStart"/>
      <w:r w:rsidRPr="0042199F">
        <w:rPr>
          <w:rFonts w:ascii="Arial" w:hAnsi="Arial" w:cs="Arial"/>
          <w:i/>
          <w:lang w:val="en-US"/>
        </w:rPr>
        <w:t>Thobias</w:t>
      </w:r>
      <w:proofErr w:type="spellEnd"/>
      <w:r w:rsidRPr="0042199F">
        <w:rPr>
          <w:rFonts w:ascii="Arial" w:hAnsi="Arial" w:cs="Arial"/>
          <w:i/>
          <w:lang w:val="en-US"/>
        </w:rPr>
        <w:t xml:space="preserve"> </w:t>
      </w:r>
      <w:proofErr w:type="spellStart"/>
      <w:r w:rsidRPr="0042199F">
        <w:rPr>
          <w:rFonts w:ascii="Arial" w:hAnsi="Arial" w:cs="Arial"/>
          <w:i/>
          <w:lang w:val="en-US"/>
        </w:rPr>
        <w:t>Mang’ara</w:t>
      </w:r>
      <w:proofErr w:type="spellEnd"/>
      <w:r w:rsidRPr="0042199F">
        <w:rPr>
          <w:rFonts w:ascii="Arial" w:hAnsi="Arial" w:cs="Arial"/>
          <w:i/>
          <w:lang w:val="en-US"/>
        </w:rPr>
        <w:t xml:space="preserve"> Mango and </w:t>
      </w:r>
      <w:proofErr w:type="spellStart"/>
      <w:r w:rsidRPr="0042199F">
        <w:rPr>
          <w:rFonts w:ascii="Arial" w:hAnsi="Arial" w:cs="Arial"/>
          <w:i/>
          <w:lang w:val="en-US"/>
        </w:rPr>
        <w:t>Shukurani</w:t>
      </w:r>
      <w:proofErr w:type="spellEnd"/>
      <w:r w:rsidRPr="0042199F">
        <w:rPr>
          <w:rFonts w:ascii="Arial" w:hAnsi="Arial" w:cs="Arial"/>
          <w:i/>
          <w:lang w:val="en-US"/>
        </w:rPr>
        <w:t xml:space="preserve"> </w:t>
      </w:r>
      <w:proofErr w:type="spellStart"/>
      <w:r w:rsidRPr="0042199F">
        <w:rPr>
          <w:rFonts w:ascii="Arial" w:hAnsi="Arial" w:cs="Arial"/>
          <w:i/>
          <w:lang w:val="en-US"/>
        </w:rPr>
        <w:t>Masegenya</w:t>
      </w:r>
      <w:proofErr w:type="spellEnd"/>
      <w:r w:rsidRPr="0042199F">
        <w:rPr>
          <w:rFonts w:ascii="Arial" w:hAnsi="Arial" w:cs="Arial"/>
          <w:i/>
          <w:lang w:val="en-US"/>
        </w:rPr>
        <w:t xml:space="preserve"> Mango v United Republic of Tanzania </w:t>
      </w:r>
      <w:r w:rsidRPr="0042199F">
        <w:rPr>
          <w:rFonts w:ascii="Arial" w:hAnsi="Arial" w:cs="Arial"/>
        </w:rPr>
        <w:t xml:space="preserve">§ 13 and Application No. 001/2018. Judgment 4 July 2019 (Review) </w:t>
      </w:r>
      <w:proofErr w:type="spellStart"/>
      <w:r w:rsidRPr="0042199F">
        <w:rPr>
          <w:rFonts w:ascii="Arial" w:hAnsi="Arial" w:cs="Arial"/>
          <w:i/>
        </w:rPr>
        <w:t>Rutabingwa</w:t>
      </w:r>
      <w:proofErr w:type="spellEnd"/>
      <w:r w:rsidRPr="0042199F">
        <w:rPr>
          <w:rFonts w:ascii="Arial" w:hAnsi="Arial" w:cs="Arial"/>
          <w:i/>
        </w:rPr>
        <w:t xml:space="preserve"> </w:t>
      </w:r>
      <w:proofErr w:type="spellStart"/>
      <w:r w:rsidRPr="0042199F">
        <w:rPr>
          <w:rFonts w:ascii="Arial" w:hAnsi="Arial" w:cs="Arial"/>
          <w:i/>
        </w:rPr>
        <w:t>Chrysanthe</w:t>
      </w:r>
      <w:proofErr w:type="spellEnd"/>
      <w:r w:rsidRPr="0042199F">
        <w:rPr>
          <w:rFonts w:ascii="Arial" w:hAnsi="Arial" w:cs="Arial"/>
          <w:i/>
        </w:rPr>
        <w:t xml:space="preserve"> v Republic of Rwanda</w:t>
      </w:r>
      <w:r w:rsidRPr="0042199F">
        <w:rPr>
          <w:rFonts w:ascii="Arial" w:hAnsi="Arial" w:cs="Arial"/>
        </w:rPr>
        <w:t xml:space="preserve"> §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44F1"/>
    <w:multiLevelType w:val="hybridMultilevel"/>
    <w:tmpl w:val="120E2092"/>
    <w:lvl w:ilvl="0" w:tplc="6C86B63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0B1F"/>
    <w:multiLevelType w:val="hybridMultilevel"/>
    <w:tmpl w:val="68D42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82A"/>
    <w:multiLevelType w:val="hybridMultilevel"/>
    <w:tmpl w:val="A0625A64"/>
    <w:lvl w:ilvl="0" w:tplc="6CF0B1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EFE"/>
    <w:multiLevelType w:val="hybridMultilevel"/>
    <w:tmpl w:val="6C4055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66DE3"/>
    <w:multiLevelType w:val="hybridMultilevel"/>
    <w:tmpl w:val="EE18B138"/>
    <w:lvl w:ilvl="0" w:tplc="8700A6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F43AF"/>
    <w:multiLevelType w:val="hybridMultilevel"/>
    <w:tmpl w:val="A46C412E"/>
    <w:lvl w:ilvl="0" w:tplc="89225E0A">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A39F3"/>
    <w:multiLevelType w:val="hybridMultilevel"/>
    <w:tmpl w:val="C7C8B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3997"/>
    <w:multiLevelType w:val="hybridMultilevel"/>
    <w:tmpl w:val="DE668ED8"/>
    <w:lvl w:ilvl="0" w:tplc="7A162564">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0C70BE"/>
    <w:multiLevelType w:val="hybridMultilevel"/>
    <w:tmpl w:val="CC5A1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1B07"/>
    <w:multiLevelType w:val="hybridMultilevel"/>
    <w:tmpl w:val="0A442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7997"/>
    <w:multiLevelType w:val="hybridMultilevel"/>
    <w:tmpl w:val="D8D632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00C9C"/>
    <w:multiLevelType w:val="hybridMultilevel"/>
    <w:tmpl w:val="D84C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23F7E"/>
    <w:multiLevelType w:val="hybridMultilevel"/>
    <w:tmpl w:val="1988D94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C72C0"/>
    <w:multiLevelType w:val="hybridMultilevel"/>
    <w:tmpl w:val="3A32203E"/>
    <w:lvl w:ilvl="0" w:tplc="6FA487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A05EF"/>
    <w:multiLevelType w:val="hybridMultilevel"/>
    <w:tmpl w:val="4D786D68"/>
    <w:lvl w:ilvl="0" w:tplc="7C986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702C38"/>
    <w:multiLevelType w:val="hybridMultilevel"/>
    <w:tmpl w:val="317CAC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A4A01"/>
    <w:multiLevelType w:val="hybridMultilevel"/>
    <w:tmpl w:val="8CECA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00968"/>
    <w:multiLevelType w:val="hybridMultilevel"/>
    <w:tmpl w:val="0BA4E544"/>
    <w:lvl w:ilvl="0" w:tplc="0AE07C2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633F2"/>
    <w:multiLevelType w:val="hybridMultilevel"/>
    <w:tmpl w:val="1EFE521E"/>
    <w:lvl w:ilvl="0" w:tplc="A7560AC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C75D3"/>
    <w:multiLevelType w:val="hybridMultilevel"/>
    <w:tmpl w:val="6CA21F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A79A4"/>
    <w:multiLevelType w:val="hybridMultilevel"/>
    <w:tmpl w:val="B1EEA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4783B"/>
    <w:multiLevelType w:val="hybridMultilevel"/>
    <w:tmpl w:val="870C6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B3DA7"/>
    <w:multiLevelType w:val="hybridMultilevel"/>
    <w:tmpl w:val="EA88FA70"/>
    <w:lvl w:ilvl="0" w:tplc="FB44F78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E1657"/>
    <w:multiLevelType w:val="hybridMultilevel"/>
    <w:tmpl w:val="8FFE73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F134A"/>
    <w:multiLevelType w:val="hybridMultilevel"/>
    <w:tmpl w:val="C5026FFA"/>
    <w:lvl w:ilvl="0" w:tplc="1E5AA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384E9E"/>
    <w:multiLevelType w:val="hybridMultilevel"/>
    <w:tmpl w:val="A87293F2"/>
    <w:lvl w:ilvl="0" w:tplc="E70C46A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C4E78"/>
    <w:multiLevelType w:val="hybridMultilevel"/>
    <w:tmpl w:val="33001544"/>
    <w:lvl w:ilvl="0" w:tplc="03761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
  </w:num>
  <w:num w:numId="3">
    <w:abstractNumId w:val="12"/>
  </w:num>
  <w:num w:numId="4">
    <w:abstractNumId w:val="3"/>
  </w:num>
  <w:num w:numId="5">
    <w:abstractNumId w:val="26"/>
  </w:num>
  <w:num w:numId="6">
    <w:abstractNumId w:val="24"/>
  </w:num>
  <w:num w:numId="7">
    <w:abstractNumId w:val="25"/>
  </w:num>
  <w:num w:numId="8">
    <w:abstractNumId w:val="8"/>
  </w:num>
  <w:num w:numId="9">
    <w:abstractNumId w:val="13"/>
  </w:num>
  <w:num w:numId="10">
    <w:abstractNumId w:val="16"/>
  </w:num>
  <w:num w:numId="11">
    <w:abstractNumId w:val="11"/>
  </w:num>
  <w:num w:numId="12">
    <w:abstractNumId w:val="23"/>
  </w:num>
  <w:num w:numId="13">
    <w:abstractNumId w:val="22"/>
  </w:num>
  <w:num w:numId="14">
    <w:abstractNumId w:val="20"/>
  </w:num>
  <w:num w:numId="15">
    <w:abstractNumId w:val="2"/>
  </w:num>
  <w:num w:numId="16">
    <w:abstractNumId w:val="10"/>
  </w:num>
  <w:num w:numId="17">
    <w:abstractNumId w:val="9"/>
  </w:num>
  <w:num w:numId="18">
    <w:abstractNumId w:val="4"/>
  </w:num>
  <w:num w:numId="19">
    <w:abstractNumId w:val="5"/>
  </w:num>
  <w:num w:numId="20">
    <w:abstractNumId w:val="21"/>
  </w:num>
  <w:num w:numId="21">
    <w:abstractNumId w:val="6"/>
  </w:num>
  <w:num w:numId="22">
    <w:abstractNumId w:val="15"/>
  </w:num>
  <w:num w:numId="23">
    <w:abstractNumId w:val="7"/>
  </w:num>
  <w:num w:numId="24">
    <w:abstractNumId w:val="0"/>
  </w:num>
  <w:num w:numId="25">
    <w:abstractNumId w:val="17"/>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10"/>
    <w:rsid w:val="00012039"/>
    <w:rsid w:val="00037E77"/>
    <w:rsid w:val="000432C2"/>
    <w:rsid w:val="0006149E"/>
    <w:rsid w:val="00065174"/>
    <w:rsid w:val="0008192B"/>
    <w:rsid w:val="000F2FCA"/>
    <w:rsid w:val="00105280"/>
    <w:rsid w:val="0011788C"/>
    <w:rsid w:val="001359A6"/>
    <w:rsid w:val="0014387F"/>
    <w:rsid w:val="00145DA7"/>
    <w:rsid w:val="00155368"/>
    <w:rsid w:val="0016320B"/>
    <w:rsid w:val="001A00A7"/>
    <w:rsid w:val="001A09C8"/>
    <w:rsid w:val="001A7E43"/>
    <w:rsid w:val="001B0787"/>
    <w:rsid w:val="001B2724"/>
    <w:rsid w:val="001B502B"/>
    <w:rsid w:val="001D7AC8"/>
    <w:rsid w:val="001E6AF7"/>
    <w:rsid w:val="001F256A"/>
    <w:rsid w:val="001F44FE"/>
    <w:rsid w:val="001F61A6"/>
    <w:rsid w:val="00204E7C"/>
    <w:rsid w:val="002064DB"/>
    <w:rsid w:val="0021072E"/>
    <w:rsid w:val="0024042B"/>
    <w:rsid w:val="00252603"/>
    <w:rsid w:val="002527C5"/>
    <w:rsid w:val="002573DB"/>
    <w:rsid w:val="002708C6"/>
    <w:rsid w:val="002733BA"/>
    <w:rsid w:val="002765C1"/>
    <w:rsid w:val="00277401"/>
    <w:rsid w:val="002804B4"/>
    <w:rsid w:val="0028233D"/>
    <w:rsid w:val="002865B1"/>
    <w:rsid w:val="0028693B"/>
    <w:rsid w:val="00294712"/>
    <w:rsid w:val="00297879"/>
    <w:rsid w:val="002A17D6"/>
    <w:rsid w:val="002A6B11"/>
    <w:rsid w:val="002F2A29"/>
    <w:rsid w:val="002F3813"/>
    <w:rsid w:val="002F39B7"/>
    <w:rsid w:val="002F3B1B"/>
    <w:rsid w:val="002F5515"/>
    <w:rsid w:val="00306E22"/>
    <w:rsid w:val="003073D8"/>
    <w:rsid w:val="0031005B"/>
    <w:rsid w:val="003123A3"/>
    <w:rsid w:val="00314A9F"/>
    <w:rsid w:val="00314FED"/>
    <w:rsid w:val="00337F92"/>
    <w:rsid w:val="00354E51"/>
    <w:rsid w:val="00355AD4"/>
    <w:rsid w:val="0035752E"/>
    <w:rsid w:val="003669C4"/>
    <w:rsid w:val="00391510"/>
    <w:rsid w:val="00397C4A"/>
    <w:rsid w:val="003A4460"/>
    <w:rsid w:val="003B1E0C"/>
    <w:rsid w:val="003B5C95"/>
    <w:rsid w:val="003C2DDC"/>
    <w:rsid w:val="003C50D9"/>
    <w:rsid w:val="003D1D8C"/>
    <w:rsid w:val="003D6436"/>
    <w:rsid w:val="003E0424"/>
    <w:rsid w:val="003E0724"/>
    <w:rsid w:val="003E1FFD"/>
    <w:rsid w:val="003E2866"/>
    <w:rsid w:val="003E78A5"/>
    <w:rsid w:val="003F0A88"/>
    <w:rsid w:val="003F1AAD"/>
    <w:rsid w:val="00402770"/>
    <w:rsid w:val="0042199F"/>
    <w:rsid w:val="00425EA5"/>
    <w:rsid w:val="00431D3D"/>
    <w:rsid w:val="00436980"/>
    <w:rsid w:val="004444C7"/>
    <w:rsid w:val="0044707E"/>
    <w:rsid w:val="00471A5C"/>
    <w:rsid w:val="00492910"/>
    <w:rsid w:val="004A6C8B"/>
    <w:rsid w:val="004A7227"/>
    <w:rsid w:val="004A7728"/>
    <w:rsid w:val="004B5978"/>
    <w:rsid w:val="004E5D0B"/>
    <w:rsid w:val="004F634D"/>
    <w:rsid w:val="004F67C7"/>
    <w:rsid w:val="00507B89"/>
    <w:rsid w:val="00513BC0"/>
    <w:rsid w:val="00535879"/>
    <w:rsid w:val="00542DA8"/>
    <w:rsid w:val="00543E14"/>
    <w:rsid w:val="00543ECC"/>
    <w:rsid w:val="00561067"/>
    <w:rsid w:val="00563846"/>
    <w:rsid w:val="00583D9B"/>
    <w:rsid w:val="00596698"/>
    <w:rsid w:val="005A4C43"/>
    <w:rsid w:val="005B5A38"/>
    <w:rsid w:val="005B7209"/>
    <w:rsid w:val="005C3121"/>
    <w:rsid w:val="005D5662"/>
    <w:rsid w:val="005F429F"/>
    <w:rsid w:val="0060658F"/>
    <w:rsid w:val="00622387"/>
    <w:rsid w:val="00630496"/>
    <w:rsid w:val="006325D8"/>
    <w:rsid w:val="00633C10"/>
    <w:rsid w:val="00641125"/>
    <w:rsid w:val="00647A86"/>
    <w:rsid w:val="0065794F"/>
    <w:rsid w:val="006664CC"/>
    <w:rsid w:val="00670A6F"/>
    <w:rsid w:val="006772B7"/>
    <w:rsid w:val="00697047"/>
    <w:rsid w:val="00697506"/>
    <w:rsid w:val="006A35A7"/>
    <w:rsid w:val="006B62CD"/>
    <w:rsid w:val="006C4A18"/>
    <w:rsid w:val="006D25ED"/>
    <w:rsid w:val="006D74F5"/>
    <w:rsid w:val="006E4D47"/>
    <w:rsid w:val="00701197"/>
    <w:rsid w:val="00705CBC"/>
    <w:rsid w:val="00707F59"/>
    <w:rsid w:val="0071410F"/>
    <w:rsid w:val="007248FE"/>
    <w:rsid w:val="007305B6"/>
    <w:rsid w:val="00733938"/>
    <w:rsid w:val="007370D4"/>
    <w:rsid w:val="007372E2"/>
    <w:rsid w:val="0074296C"/>
    <w:rsid w:val="00744B08"/>
    <w:rsid w:val="00753892"/>
    <w:rsid w:val="00763CE4"/>
    <w:rsid w:val="00767092"/>
    <w:rsid w:val="00770490"/>
    <w:rsid w:val="007714FD"/>
    <w:rsid w:val="0079181B"/>
    <w:rsid w:val="00797C4D"/>
    <w:rsid w:val="007A13C1"/>
    <w:rsid w:val="007A6728"/>
    <w:rsid w:val="007B31A3"/>
    <w:rsid w:val="007C1026"/>
    <w:rsid w:val="007D3137"/>
    <w:rsid w:val="007D3EB0"/>
    <w:rsid w:val="007D5F77"/>
    <w:rsid w:val="007E64AD"/>
    <w:rsid w:val="007F0A0F"/>
    <w:rsid w:val="007F162A"/>
    <w:rsid w:val="0080614D"/>
    <w:rsid w:val="00807147"/>
    <w:rsid w:val="00813484"/>
    <w:rsid w:val="00823C3A"/>
    <w:rsid w:val="008244B2"/>
    <w:rsid w:val="0083074E"/>
    <w:rsid w:val="0083088D"/>
    <w:rsid w:val="00835E5B"/>
    <w:rsid w:val="008514F6"/>
    <w:rsid w:val="008521F7"/>
    <w:rsid w:val="00857519"/>
    <w:rsid w:val="008622C7"/>
    <w:rsid w:val="0087633A"/>
    <w:rsid w:val="00877455"/>
    <w:rsid w:val="00886A3D"/>
    <w:rsid w:val="008A14A0"/>
    <w:rsid w:val="008B3603"/>
    <w:rsid w:val="008B5372"/>
    <w:rsid w:val="008B77F0"/>
    <w:rsid w:val="008B7882"/>
    <w:rsid w:val="008C325E"/>
    <w:rsid w:val="008C488B"/>
    <w:rsid w:val="008E693A"/>
    <w:rsid w:val="00920167"/>
    <w:rsid w:val="00920193"/>
    <w:rsid w:val="009202FC"/>
    <w:rsid w:val="009216E3"/>
    <w:rsid w:val="00921BAD"/>
    <w:rsid w:val="00922AA7"/>
    <w:rsid w:val="00927768"/>
    <w:rsid w:val="00971AFD"/>
    <w:rsid w:val="00987F25"/>
    <w:rsid w:val="00995FC1"/>
    <w:rsid w:val="00996DD4"/>
    <w:rsid w:val="009B2829"/>
    <w:rsid w:val="009B36F8"/>
    <w:rsid w:val="009C63B5"/>
    <w:rsid w:val="009C6DE6"/>
    <w:rsid w:val="009C757B"/>
    <w:rsid w:val="009D7A5D"/>
    <w:rsid w:val="009E1B42"/>
    <w:rsid w:val="009F3F26"/>
    <w:rsid w:val="009F51F3"/>
    <w:rsid w:val="00A0039E"/>
    <w:rsid w:val="00A02E28"/>
    <w:rsid w:val="00A1042D"/>
    <w:rsid w:val="00A11004"/>
    <w:rsid w:val="00A22BCC"/>
    <w:rsid w:val="00A329E9"/>
    <w:rsid w:val="00A364F4"/>
    <w:rsid w:val="00A45724"/>
    <w:rsid w:val="00A63327"/>
    <w:rsid w:val="00A666D0"/>
    <w:rsid w:val="00A718E4"/>
    <w:rsid w:val="00A71B31"/>
    <w:rsid w:val="00A73E32"/>
    <w:rsid w:val="00A74B8B"/>
    <w:rsid w:val="00A77384"/>
    <w:rsid w:val="00AA686B"/>
    <w:rsid w:val="00AC0DC6"/>
    <w:rsid w:val="00AC3044"/>
    <w:rsid w:val="00AD3837"/>
    <w:rsid w:val="00AD4541"/>
    <w:rsid w:val="00AD5795"/>
    <w:rsid w:val="00AF0977"/>
    <w:rsid w:val="00B32C37"/>
    <w:rsid w:val="00B52AC3"/>
    <w:rsid w:val="00B7058C"/>
    <w:rsid w:val="00B75D13"/>
    <w:rsid w:val="00B82638"/>
    <w:rsid w:val="00B875AB"/>
    <w:rsid w:val="00B949C2"/>
    <w:rsid w:val="00BA19B1"/>
    <w:rsid w:val="00BB48EB"/>
    <w:rsid w:val="00BC2734"/>
    <w:rsid w:val="00BC3431"/>
    <w:rsid w:val="00BC5325"/>
    <w:rsid w:val="00BC7DCC"/>
    <w:rsid w:val="00BD2525"/>
    <w:rsid w:val="00BE5778"/>
    <w:rsid w:val="00BE6825"/>
    <w:rsid w:val="00BE73EB"/>
    <w:rsid w:val="00BF116F"/>
    <w:rsid w:val="00BF7512"/>
    <w:rsid w:val="00C24FF8"/>
    <w:rsid w:val="00C264E0"/>
    <w:rsid w:val="00C32917"/>
    <w:rsid w:val="00C521E2"/>
    <w:rsid w:val="00C6345C"/>
    <w:rsid w:val="00C64A00"/>
    <w:rsid w:val="00C72E3C"/>
    <w:rsid w:val="00C731C7"/>
    <w:rsid w:val="00C92C61"/>
    <w:rsid w:val="00CA7167"/>
    <w:rsid w:val="00CC01B9"/>
    <w:rsid w:val="00CE32AB"/>
    <w:rsid w:val="00D01E26"/>
    <w:rsid w:val="00D0367E"/>
    <w:rsid w:val="00D0454A"/>
    <w:rsid w:val="00D05DD9"/>
    <w:rsid w:val="00D1191E"/>
    <w:rsid w:val="00D20FC0"/>
    <w:rsid w:val="00D401DD"/>
    <w:rsid w:val="00D42956"/>
    <w:rsid w:val="00D60DBC"/>
    <w:rsid w:val="00D70BF7"/>
    <w:rsid w:val="00D739E1"/>
    <w:rsid w:val="00D84D55"/>
    <w:rsid w:val="00D9755E"/>
    <w:rsid w:val="00DA6B6E"/>
    <w:rsid w:val="00DB73CE"/>
    <w:rsid w:val="00DD60F3"/>
    <w:rsid w:val="00DE4F06"/>
    <w:rsid w:val="00DE514A"/>
    <w:rsid w:val="00DE518D"/>
    <w:rsid w:val="00DF06AE"/>
    <w:rsid w:val="00DF07D7"/>
    <w:rsid w:val="00DF7811"/>
    <w:rsid w:val="00E279D8"/>
    <w:rsid w:val="00E34395"/>
    <w:rsid w:val="00E34469"/>
    <w:rsid w:val="00E60D37"/>
    <w:rsid w:val="00E70C97"/>
    <w:rsid w:val="00E76857"/>
    <w:rsid w:val="00E84A13"/>
    <w:rsid w:val="00E94A80"/>
    <w:rsid w:val="00EA2233"/>
    <w:rsid w:val="00EB0A94"/>
    <w:rsid w:val="00EB32E1"/>
    <w:rsid w:val="00ED5AD7"/>
    <w:rsid w:val="00EE196E"/>
    <w:rsid w:val="00EF21B4"/>
    <w:rsid w:val="00EF2287"/>
    <w:rsid w:val="00EF2663"/>
    <w:rsid w:val="00EF70BB"/>
    <w:rsid w:val="00F02B6C"/>
    <w:rsid w:val="00F06A34"/>
    <w:rsid w:val="00F1151A"/>
    <w:rsid w:val="00F15695"/>
    <w:rsid w:val="00F254BC"/>
    <w:rsid w:val="00F30CC6"/>
    <w:rsid w:val="00F42360"/>
    <w:rsid w:val="00F5538D"/>
    <w:rsid w:val="00F5671F"/>
    <w:rsid w:val="00F642EB"/>
    <w:rsid w:val="00F666F8"/>
    <w:rsid w:val="00F753DB"/>
    <w:rsid w:val="00F852E4"/>
    <w:rsid w:val="00FA3DF6"/>
    <w:rsid w:val="00FA61DE"/>
    <w:rsid w:val="00FD70EC"/>
    <w:rsid w:val="00FE24E0"/>
    <w:rsid w:val="00FE4ABB"/>
    <w:rsid w:val="00FF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15141"/>
  <w15:docId w15:val="{B57D8880-4F47-4037-9E8E-C817A5A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elawadee UI Semilight" w:eastAsiaTheme="minorHAnsi" w:hAnsi="Leelawadee UI Semilight" w:cs="Leelawadee UI Semilight"/>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B62CD"/>
    <w:pPr>
      <w:spacing w:after="0" w:line="240" w:lineRule="auto"/>
      <w:jc w:val="both"/>
    </w:pPr>
    <w:rPr>
      <w:rFonts w:ascii="Arial" w:eastAsiaTheme="minorEastAsia" w:hAnsi="Arial" w:cs="Arial"/>
      <w:sz w:val="20"/>
      <w:szCs w:val="20"/>
      <w:lang w:val="en-US"/>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EB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E1"/>
    <w:rPr>
      <w:lang w:val="en-GB"/>
    </w:rPr>
  </w:style>
  <w:style w:type="paragraph" w:styleId="Footer">
    <w:name w:val="footer"/>
    <w:basedOn w:val="Normal"/>
    <w:link w:val="FooterChar"/>
    <w:uiPriority w:val="99"/>
    <w:unhideWhenUsed/>
    <w:rsid w:val="00EB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E1"/>
    <w:rPr>
      <w:lang w:val="en-GB"/>
    </w:rPr>
  </w:style>
  <w:style w:type="paragraph" w:styleId="FootnoteText">
    <w:name w:val="footnote text"/>
    <w:basedOn w:val="Normal"/>
    <w:link w:val="FootnoteTextChar"/>
    <w:uiPriority w:val="99"/>
    <w:semiHidden/>
    <w:unhideWhenUsed/>
    <w:rsid w:val="00622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87"/>
    <w:rPr>
      <w:sz w:val="20"/>
      <w:szCs w:val="20"/>
      <w:lang w:val="en-GB"/>
    </w:rPr>
  </w:style>
  <w:style w:type="character" w:styleId="FootnoteReference">
    <w:name w:val="footnote reference"/>
    <w:basedOn w:val="DefaultParagraphFont"/>
    <w:uiPriority w:val="99"/>
    <w:semiHidden/>
    <w:unhideWhenUsed/>
    <w:rsid w:val="00622387"/>
    <w:rPr>
      <w:vertAlign w:val="superscript"/>
    </w:rPr>
  </w:style>
  <w:style w:type="character" w:styleId="Hyperlink">
    <w:name w:val="Hyperlink"/>
    <w:basedOn w:val="DefaultParagraphFont"/>
    <w:uiPriority w:val="99"/>
    <w:unhideWhenUsed/>
    <w:rsid w:val="007D3EB0"/>
    <w:rPr>
      <w:color w:val="0563C1" w:themeColor="hyperlink"/>
      <w:u w:val="single"/>
    </w:rPr>
  </w:style>
  <w:style w:type="character" w:customStyle="1" w:styleId="Heading1Char">
    <w:name w:val="Heading 1 Char"/>
    <w:basedOn w:val="DefaultParagraphFont"/>
    <w:link w:val="Heading1"/>
    <w:uiPriority w:val="9"/>
    <w:rsid w:val="00DE514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E514A"/>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543E14"/>
    <w:pPr>
      <w:outlineLvl w:val="9"/>
    </w:pPr>
    <w:rPr>
      <w:lang w:val="en-US"/>
    </w:rPr>
  </w:style>
  <w:style w:type="paragraph" w:styleId="TOC1">
    <w:name w:val="toc 1"/>
    <w:basedOn w:val="Normal"/>
    <w:next w:val="Normal"/>
    <w:autoRedefine/>
    <w:uiPriority w:val="39"/>
    <w:unhideWhenUsed/>
    <w:rsid w:val="00543E14"/>
    <w:pPr>
      <w:spacing w:after="100"/>
    </w:pPr>
  </w:style>
  <w:style w:type="paragraph" w:styleId="TOC2">
    <w:name w:val="toc 2"/>
    <w:basedOn w:val="Normal"/>
    <w:next w:val="Normal"/>
    <w:autoRedefine/>
    <w:uiPriority w:val="39"/>
    <w:unhideWhenUsed/>
    <w:rsid w:val="00543E14"/>
    <w:pPr>
      <w:spacing w:after="100"/>
      <w:ind w:left="240"/>
    </w:pPr>
  </w:style>
  <w:style w:type="paragraph" w:styleId="BalloonText">
    <w:name w:val="Balloon Text"/>
    <w:basedOn w:val="Normal"/>
    <w:link w:val="BalloonTextChar"/>
    <w:uiPriority w:val="99"/>
    <w:semiHidden/>
    <w:unhideWhenUsed/>
    <w:rsid w:val="0054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14"/>
    <w:rPr>
      <w:rFonts w:ascii="Segoe UI" w:hAnsi="Segoe UI" w:cs="Segoe UI"/>
      <w:sz w:val="18"/>
      <w:szCs w:val="18"/>
      <w:lang w:val="en-GB"/>
    </w:rPr>
  </w:style>
  <w:style w:type="character" w:styleId="CommentReference">
    <w:name w:val="annotation reference"/>
    <w:basedOn w:val="DefaultParagraphFont"/>
    <w:uiPriority w:val="99"/>
    <w:semiHidden/>
    <w:unhideWhenUsed/>
    <w:rsid w:val="006664CC"/>
    <w:rPr>
      <w:sz w:val="18"/>
      <w:szCs w:val="18"/>
    </w:rPr>
  </w:style>
  <w:style w:type="paragraph" w:styleId="CommentText">
    <w:name w:val="annotation text"/>
    <w:basedOn w:val="Normal"/>
    <w:link w:val="CommentTextChar"/>
    <w:uiPriority w:val="99"/>
    <w:semiHidden/>
    <w:unhideWhenUsed/>
    <w:rsid w:val="006664CC"/>
    <w:pPr>
      <w:spacing w:line="240" w:lineRule="auto"/>
    </w:pPr>
    <w:rPr>
      <w:szCs w:val="24"/>
    </w:rPr>
  </w:style>
  <w:style w:type="character" w:customStyle="1" w:styleId="CommentTextChar">
    <w:name w:val="Comment Text Char"/>
    <w:basedOn w:val="DefaultParagraphFont"/>
    <w:link w:val="CommentText"/>
    <w:uiPriority w:val="99"/>
    <w:semiHidden/>
    <w:rsid w:val="006664CC"/>
    <w:rPr>
      <w:szCs w:val="24"/>
      <w:lang w:val="en-GB"/>
    </w:rPr>
  </w:style>
  <w:style w:type="paragraph" w:styleId="CommentSubject">
    <w:name w:val="annotation subject"/>
    <w:basedOn w:val="CommentText"/>
    <w:next w:val="CommentText"/>
    <w:link w:val="CommentSubjectChar"/>
    <w:uiPriority w:val="99"/>
    <w:semiHidden/>
    <w:unhideWhenUsed/>
    <w:rsid w:val="006664CC"/>
    <w:rPr>
      <w:b/>
      <w:bCs/>
      <w:sz w:val="20"/>
      <w:szCs w:val="20"/>
    </w:rPr>
  </w:style>
  <w:style w:type="character" w:customStyle="1" w:styleId="CommentSubjectChar">
    <w:name w:val="Comment Subject Char"/>
    <w:basedOn w:val="CommentTextChar"/>
    <w:link w:val="CommentSubject"/>
    <w:uiPriority w:val="99"/>
    <w:semiHidden/>
    <w:rsid w:val="006664C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741E-586E-4A07-8C64-E8316D63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Mwiza Nkhata</dc:creator>
  <cp:lastModifiedBy>Dr. Mwiza Nkhata</cp:lastModifiedBy>
  <cp:revision>2</cp:revision>
  <cp:lastPrinted>2019-09-20T09:30:00Z</cp:lastPrinted>
  <dcterms:created xsi:type="dcterms:W3CDTF">2019-10-24T08:18:00Z</dcterms:created>
  <dcterms:modified xsi:type="dcterms:W3CDTF">2019-10-24T08:18:00Z</dcterms:modified>
</cp:coreProperties>
</file>