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01"/>
        <w:jc w:val="right"/>
      </w:pPr>
      <w:r>
        <w:rPr/>
        <w:t>CM/Res.847</w:t>
      </w:r>
      <w:r>
        <w:rPr>
          <w:spacing w:val="-11"/>
        </w:rPr>
        <w:t> </w:t>
      </w:r>
      <w:r>
        <w:rPr>
          <w:spacing w:val="-2"/>
        </w:rPr>
        <w:t>(XXXVI)</w:t>
      </w:r>
    </w:p>
    <w:p>
      <w:pPr>
        <w:pStyle w:val="BodyText"/>
        <w:rPr>
          <w:sz w:val="26"/>
        </w:rPr>
      </w:pPr>
    </w:p>
    <w:p>
      <w:pPr>
        <w:pStyle w:val="BodyText"/>
        <w:spacing w:before="9"/>
        <w:rPr>
          <w:sz w:val="21"/>
        </w:rPr>
      </w:pPr>
    </w:p>
    <w:p>
      <w:pPr>
        <w:pStyle w:val="BodyText"/>
        <w:spacing w:line="362" w:lineRule="auto" w:before="1"/>
        <w:ind w:left="1017" w:right="296" w:hanging="476"/>
      </w:pPr>
      <w:r>
        <w:rPr>
          <w:u w:val="single"/>
        </w:rPr>
        <w:t>RESOLUTION</w:t>
      </w:r>
      <w:r>
        <w:rPr>
          <w:spacing w:val="-11"/>
          <w:u w:val="single"/>
        </w:rPr>
        <w:t> </w:t>
      </w:r>
      <w:r>
        <w:rPr>
          <w:u w:val="single"/>
        </w:rPr>
        <w:t>ON</w:t>
      </w:r>
      <w:r>
        <w:rPr>
          <w:spacing w:val="-11"/>
          <w:u w:val="single"/>
        </w:rPr>
        <w:t> </w:t>
      </w:r>
      <w:r>
        <w:rPr>
          <w:u w:val="single"/>
        </w:rPr>
        <w:t>THE</w:t>
      </w:r>
      <w:r>
        <w:rPr>
          <w:spacing w:val="-9"/>
          <w:u w:val="single"/>
        </w:rPr>
        <w:t> </w:t>
      </w:r>
      <w:r>
        <w:rPr>
          <w:u w:val="single"/>
        </w:rPr>
        <w:t>ACTIVITIES</w:t>
      </w:r>
      <w:r>
        <w:rPr>
          <w:spacing w:val="-10"/>
          <w:u w:val="single"/>
        </w:rPr>
        <w:t> </w:t>
      </w:r>
      <w:r>
        <w:rPr>
          <w:u w:val="single"/>
        </w:rPr>
        <w:t>OF</w:t>
      </w:r>
      <w:r>
        <w:rPr>
          <w:spacing w:val="-11"/>
          <w:u w:val="single"/>
        </w:rPr>
        <w:t> </w:t>
      </w:r>
      <w:r>
        <w:rPr>
          <w:u w:val="single"/>
        </w:rPr>
        <w:t>THE</w:t>
      </w:r>
      <w:r>
        <w:rPr>
          <w:spacing w:val="-9"/>
          <w:u w:val="single"/>
        </w:rPr>
        <w:t> </w:t>
      </w:r>
      <w:r>
        <w:rPr>
          <w:u w:val="single"/>
        </w:rPr>
        <w:t>EXECUTIVE</w:t>
      </w:r>
      <w:r>
        <w:rPr>
          <w:spacing w:val="-9"/>
          <w:u w:val="single"/>
        </w:rPr>
        <w:t> </w:t>
      </w:r>
      <w:r>
        <w:rPr>
          <w:u w:val="single"/>
        </w:rPr>
        <w:t>SECRETARIAT</w:t>
      </w:r>
      <w:r>
        <w:rPr/>
        <w:t> </w:t>
      </w:r>
      <w:r>
        <w:rPr>
          <w:u w:val="single"/>
        </w:rPr>
        <w:t>OF THE OAU/STRC – LAGOS AND ITS SUB-REGIONAL OFFICE</w:t>
      </w:r>
    </w:p>
    <w:p>
      <w:pPr>
        <w:pStyle w:val="BodyText"/>
        <w:spacing w:before="9"/>
        <w:rPr>
          <w:sz w:val="27"/>
        </w:rPr>
      </w:pPr>
    </w:p>
    <w:p>
      <w:pPr>
        <w:pStyle w:val="BodyText"/>
        <w:spacing w:line="360" w:lineRule="auto" w:before="90"/>
        <w:ind w:left="120"/>
      </w:pPr>
      <w:r>
        <w:rPr/>
        <w:t>The</w:t>
      </w:r>
      <w:r>
        <w:rPr>
          <w:spacing w:val="-12"/>
        </w:rPr>
        <w:t> </w:t>
      </w:r>
      <w:r>
        <w:rPr/>
        <w:t>Council</w:t>
      </w:r>
      <w:r>
        <w:rPr>
          <w:spacing w:val="-12"/>
        </w:rPr>
        <w:t> </w:t>
      </w:r>
      <w:r>
        <w:rPr/>
        <w:t>of</w:t>
      </w:r>
      <w:r>
        <w:rPr>
          <w:spacing w:val="-12"/>
        </w:rPr>
        <w:t> </w:t>
      </w:r>
      <w:r>
        <w:rPr/>
        <w:t>Ministers</w:t>
      </w:r>
      <w:r>
        <w:rPr>
          <w:spacing w:val="-12"/>
        </w:rPr>
        <w:t> </w:t>
      </w:r>
      <w:r>
        <w:rPr/>
        <w:t>of</w:t>
      </w:r>
      <w:r>
        <w:rPr>
          <w:spacing w:val="-12"/>
        </w:rPr>
        <w:t> </w:t>
      </w:r>
      <w:r>
        <w:rPr/>
        <w:t>the</w:t>
      </w:r>
      <w:r>
        <w:rPr>
          <w:spacing w:val="-12"/>
        </w:rPr>
        <w:t> </w:t>
      </w:r>
      <w:r>
        <w:rPr/>
        <w:t>Organization</w:t>
      </w:r>
      <w:r>
        <w:rPr>
          <w:spacing w:val="-12"/>
        </w:rPr>
        <w:t> </w:t>
      </w:r>
      <w:r>
        <w:rPr/>
        <w:t>of</w:t>
      </w:r>
      <w:r>
        <w:rPr>
          <w:spacing w:val="-12"/>
        </w:rPr>
        <w:t> </w:t>
      </w:r>
      <w:r>
        <w:rPr/>
        <w:t>African</w:t>
      </w:r>
      <w:r>
        <w:rPr>
          <w:spacing w:val="-12"/>
        </w:rPr>
        <w:t> </w:t>
      </w:r>
      <w:r>
        <w:rPr/>
        <w:t>Unity,</w:t>
      </w:r>
      <w:r>
        <w:rPr>
          <w:spacing w:val="-11"/>
        </w:rPr>
        <w:t> </w:t>
      </w:r>
      <w:r>
        <w:rPr/>
        <w:t>meeting</w:t>
      </w:r>
      <w:r>
        <w:rPr>
          <w:spacing w:val="-12"/>
        </w:rPr>
        <w:t> </w:t>
      </w:r>
      <w:r>
        <w:rPr/>
        <w:t>in</w:t>
      </w:r>
      <w:r>
        <w:rPr>
          <w:spacing w:val="-12"/>
        </w:rPr>
        <w:t> </w:t>
      </w:r>
      <w:r>
        <w:rPr/>
        <w:t>its</w:t>
      </w:r>
      <w:r>
        <w:rPr>
          <w:spacing w:val="-12"/>
        </w:rPr>
        <w:t> </w:t>
      </w:r>
      <w:r>
        <w:rPr/>
        <w:t>Thirty-sixth Ordinary Session in Addis Ababa, Ethiopia, from 23 February to 1 March, 1981,</w:t>
      </w:r>
    </w:p>
    <w:p>
      <w:pPr>
        <w:pStyle w:val="BodyText"/>
        <w:spacing w:before="1"/>
        <w:rPr>
          <w:sz w:val="36"/>
        </w:rPr>
      </w:pPr>
    </w:p>
    <w:p>
      <w:pPr>
        <w:pStyle w:val="BodyText"/>
        <w:spacing w:line="360" w:lineRule="auto"/>
        <w:ind w:left="119" w:right="296"/>
      </w:pPr>
      <w:r>
        <w:rPr>
          <w:u w:val="single"/>
        </w:rPr>
        <w:t>Recalling</w:t>
      </w:r>
      <w:r>
        <w:rPr>
          <w:spacing w:val="-1"/>
        </w:rPr>
        <w:t> </w:t>
      </w:r>
      <w:r>
        <w:rPr/>
        <w:t>Resolution CM/Res.569 (XXIX) of the Twenty-ninth Ordinary Session in Libreville,</w:t>
      </w:r>
      <w:r>
        <w:rPr>
          <w:spacing w:val="-11"/>
        </w:rPr>
        <w:t> </w:t>
      </w:r>
      <w:r>
        <w:rPr/>
        <w:t>Gabon,</w:t>
      </w:r>
      <w:r>
        <w:rPr>
          <w:spacing w:val="-11"/>
        </w:rPr>
        <w:t> </w:t>
      </w:r>
      <w:r>
        <w:rPr/>
        <w:t>on</w:t>
      </w:r>
      <w:r>
        <w:rPr>
          <w:spacing w:val="-13"/>
        </w:rPr>
        <w:t> </w:t>
      </w:r>
      <w:r>
        <w:rPr/>
        <w:t>the</w:t>
      </w:r>
      <w:r>
        <w:rPr>
          <w:spacing w:val="-13"/>
        </w:rPr>
        <w:t> </w:t>
      </w:r>
      <w:r>
        <w:rPr/>
        <w:t>Scientific,</w:t>
      </w:r>
      <w:r>
        <w:rPr>
          <w:spacing w:val="-11"/>
        </w:rPr>
        <w:t> </w:t>
      </w:r>
      <w:r>
        <w:rPr/>
        <w:t>Technological</w:t>
      </w:r>
      <w:r>
        <w:rPr>
          <w:spacing w:val="-13"/>
        </w:rPr>
        <w:t> </w:t>
      </w:r>
      <w:r>
        <w:rPr/>
        <w:t>and</w:t>
      </w:r>
      <w:r>
        <w:rPr>
          <w:spacing w:val="-13"/>
        </w:rPr>
        <w:t> </w:t>
      </w:r>
      <w:r>
        <w:rPr/>
        <w:t>Development</w:t>
      </w:r>
      <w:r>
        <w:rPr>
          <w:spacing w:val="-11"/>
        </w:rPr>
        <w:t> </w:t>
      </w:r>
      <w:r>
        <w:rPr/>
        <w:t>Activities</w:t>
      </w:r>
      <w:r>
        <w:rPr>
          <w:spacing w:val="-13"/>
        </w:rPr>
        <w:t> </w:t>
      </w:r>
      <w:r>
        <w:rPr/>
        <w:t>of</w:t>
      </w:r>
      <w:r>
        <w:rPr>
          <w:spacing w:val="-13"/>
        </w:rPr>
        <w:t> </w:t>
      </w:r>
      <w:r>
        <w:rPr/>
        <w:t>the Executive Secretariat of the OAU/STRC,</w:t>
      </w:r>
    </w:p>
    <w:p>
      <w:pPr>
        <w:pStyle w:val="BodyText"/>
        <w:rPr>
          <w:sz w:val="36"/>
        </w:rPr>
      </w:pPr>
    </w:p>
    <w:p>
      <w:pPr>
        <w:pStyle w:val="BodyText"/>
        <w:spacing w:line="360" w:lineRule="auto"/>
        <w:ind w:left="120" w:right="296" w:hanging="1"/>
      </w:pPr>
      <w:r>
        <w:rPr>
          <w:u w:val="single"/>
        </w:rPr>
        <w:t>Noting</w:t>
      </w:r>
      <w:r>
        <w:rPr>
          <w:spacing w:val="-9"/>
          <w:u w:val="single"/>
        </w:rPr>
        <w:t> </w:t>
      </w:r>
      <w:r>
        <w:rPr>
          <w:u w:val="single"/>
        </w:rPr>
        <w:t>with</w:t>
      </w:r>
      <w:r>
        <w:rPr>
          <w:spacing w:val="-9"/>
          <w:u w:val="single"/>
        </w:rPr>
        <w:t> </w:t>
      </w:r>
      <w:r>
        <w:rPr>
          <w:u w:val="single"/>
        </w:rPr>
        <w:t>satisfaction</w:t>
      </w:r>
      <w:r>
        <w:rPr/>
        <w:t> the</w:t>
      </w:r>
      <w:r>
        <w:rPr>
          <w:spacing w:val="-9"/>
        </w:rPr>
        <w:t> </w:t>
      </w:r>
      <w:r>
        <w:rPr/>
        <w:t>work</w:t>
      </w:r>
      <w:r>
        <w:rPr>
          <w:spacing w:val="-9"/>
        </w:rPr>
        <w:t> </w:t>
      </w:r>
      <w:r>
        <w:rPr/>
        <w:t>done</w:t>
      </w:r>
      <w:r>
        <w:rPr>
          <w:spacing w:val="-9"/>
        </w:rPr>
        <w:t> </w:t>
      </w:r>
      <w:r>
        <w:rPr/>
        <w:t>by</w:t>
      </w:r>
      <w:r>
        <w:rPr>
          <w:spacing w:val="-9"/>
        </w:rPr>
        <w:t> </w:t>
      </w:r>
      <w:r>
        <w:rPr/>
        <w:t>the</w:t>
      </w:r>
      <w:r>
        <w:rPr>
          <w:spacing w:val="-9"/>
        </w:rPr>
        <w:t> </w:t>
      </w:r>
      <w:r>
        <w:rPr/>
        <w:t>OAU/STRC</w:t>
      </w:r>
      <w:r>
        <w:rPr>
          <w:spacing w:val="-9"/>
        </w:rPr>
        <w:t> </w:t>
      </w:r>
      <w:r>
        <w:rPr/>
        <w:t>and</w:t>
      </w:r>
      <w:r>
        <w:rPr>
          <w:spacing w:val="-9"/>
        </w:rPr>
        <w:t> </w:t>
      </w:r>
      <w:r>
        <w:rPr/>
        <w:t>its</w:t>
      </w:r>
      <w:r>
        <w:rPr>
          <w:spacing w:val="-9"/>
        </w:rPr>
        <w:t> </w:t>
      </w:r>
      <w:r>
        <w:rPr/>
        <w:t>Sub-Regional</w:t>
      </w:r>
      <w:r>
        <w:rPr>
          <w:spacing w:val="-9"/>
        </w:rPr>
        <w:t> </w:t>
      </w:r>
      <w:r>
        <w:rPr/>
        <w:t>Offices IBAR, IAPSC and BIC so expressed in Document CM/1073 (XXXVI) Part III:</w:t>
      </w:r>
    </w:p>
    <w:p>
      <w:pPr>
        <w:pStyle w:val="BodyText"/>
        <w:spacing w:before="1"/>
        <w:rPr>
          <w:sz w:val="36"/>
        </w:rPr>
      </w:pPr>
    </w:p>
    <w:p>
      <w:pPr>
        <w:pStyle w:val="ListParagraph"/>
        <w:numPr>
          <w:ilvl w:val="0"/>
          <w:numId w:val="1"/>
        </w:numPr>
        <w:tabs>
          <w:tab w:pos="839" w:val="left" w:leader="none"/>
          <w:tab w:pos="840" w:val="left" w:leader="none"/>
        </w:tabs>
        <w:spacing w:line="360" w:lineRule="auto" w:before="1" w:after="0"/>
        <w:ind w:left="839" w:right="303" w:hanging="720"/>
        <w:jc w:val="left"/>
        <w:rPr>
          <w:sz w:val="24"/>
        </w:rPr>
      </w:pPr>
      <w:r>
        <w:rPr>
          <w:sz w:val="24"/>
        </w:rPr>
        <w:t>REQUESTS the OAU Secretary-General to fill the existing vacant posts with qualified scientists taking into account geographical distribution without delay and to provide more funds and facilities for these offices to improve their performance</w:t>
      </w:r>
      <w:r>
        <w:rPr>
          <w:spacing w:val="-7"/>
          <w:sz w:val="24"/>
        </w:rPr>
        <w:t> </w:t>
      </w:r>
      <w:r>
        <w:rPr>
          <w:sz w:val="24"/>
        </w:rPr>
        <w:t>and</w:t>
      </w:r>
      <w:r>
        <w:rPr>
          <w:spacing w:val="-7"/>
          <w:sz w:val="24"/>
        </w:rPr>
        <w:t> </w:t>
      </w:r>
      <w:r>
        <w:rPr>
          <w:sz w:val="24"/>
        </w:rPr>
        <w:t>thus</w:t>
      </w:r>
      <w:r>
        <w:rPr>
          <w:spacing w:val="-7"/>
          <w:sz w:val="24"/>
        </w:rPr>
        <w:t> </w:t>
      </w:r>
      <w:r>
        <w:rPr>
          <w:sz w:val="24"/>
        </w:rPr>
        <w:t>make</w:t>
      </w:r>
      <w:r>
        <w:rPr>
          <w:spacing w:val="-7"/>
          <w:sz w:val="24"/>
        </w:rPr>
        <w:t> </w:t>
      </w:r>
      <w:r>
        <w:rPr>
          <w:sz w:val="24"/>
        </w:rPr>
        <w:t>a</w:t>
      </w:r>
      <w:r>
        <w:rPr>
          <w:spacing w:val="-7"/>
          <w:sz w:val="24"/>
        </w:rPr>
        <w:t> </w:t>
      </w:r>
      <w:r>
        <w:rPr>
          <w:sz w:val="24"/>
        </w:rPr>
        <w:t>greater</w:t>
      </w:r>
      <w:r>
        <w:rPr>
          <w:spacing w:val="-6"/>
          <w:sz w:val="24"/>
        </w:rPr>
        <w:t> </w:t>
      </w:r>
      <w:r>
        <w:rPr>
          <w:sz w:val="24"/>
        </w:rPr>
        <w:t>impact on</w:t>
      </w:r>
      <w:r>
        <w:rPr>
          <w:spacing w:val="-7"/>
          <w:sz w:val="24"/>
        </w:rPr>
        <w:t> </w:t>
      </w:r>
      <w:r>
        <w:rPr>
          <w:sz w:val="24"/>
        </w:rPr>
        <w:t>the</w:t>
      </w:r>
      <w:r>
        <w:rPr>
          <w:spacing w:val="-7"/>
          <w:sz w:val="24"/>
        </w:rPr>
        <w:t> </w:t>
      </w:r>
      <w:r>
        <w:rPr>
          <w:sz w:val="24"/>
        </w:rPr>
        <w:t>implementation</w:t>
      </w:r>
      <w:r>
        <w:rPr>
          <w:spacing w:val="-7"/>
          <w:sz w:val="24"/>
        </w:rPr>
        <w:t> </w:t>
      </w:r>
      <w:r>
        <w:rPr>
          <w:sz w:val="24"/>
        </w:rPr>
        <w:t>of</w:t>
      </w:r>
      <w:r>
        <w:rPr>
          <w:spacing w:val="-7"/>
          <w:sz w:val="24"/>
        </w:rPr>
        <w:t> </w:t>
      </w:r>
      <w:r>
        <w:rPr>
          <w:sz w:val="24"/>
        </w:rPr>
        <w:t>the</w:t>
      </w:r>
      <w:r>
        <w:rPr>
          <w:spacing w:val="-7"/>
          <w:sz w:val="24"/>
        </w:rPr>
        <w:t> </w:t>
      </w:r>
      <w:r>
        <w:rPr>
          <w:sz w:val="24"/>
        </w:rPr>
        <w:t>Lagos Plan of Action;</w:t>
      </w:r>
    </w:p>
    <w:p>
      <w:pPr>
        <w:pStyle w:val="BodyText"/>
        <w:spacing w:before="9"/>
        <w:rPr>
          <w:sz w:val="35"/>
        </w:rPr>
      </w:pPr>
    </w:p>
    <w:p>
      <w:pPr>
        <w:pStyle w:val="ListParagraph"/>
        <w:numPr>
          <w:ilvl w:val="0"/>
          <w:numId w:val="1"/>
        </w:numPr>
        <w:tabs>
          <w:tab w:pos="839" w:val="left" w:leader="none"/>
          <w:tab w:pos="840" w:val="left" w:leader="none"/>
        </w:tabs>
        <w:spacing w:line="360" w:lineRule="auto" w:before="0" w:after="0"/>
        <w:ind w:left="839" w:right="357" w:hanging="720"/>
        <w:jc w:val="left"/>
        <w:rPr>
          <w:sz w:val="24"/>
        </w:rPr>
      </w:pPr>
      <w:r>
        <w:rPr>
          <w:sz w:val="24"/>
        </w:rPr>
        <w:t>REQUESTS the OAU Secretary-General in collaboration with the Advisory Committee on Administrative, Budgetary and Financial Matters to review the conditions</w:t>
      </w:r>
      <w:r>
        <w:rPr>
          <w:spacing w:val="-8"/>
          <w:sz w:val="24"/>
        </w:rPr>
        <w:t> </w:t>
      </w:r>
      <w:r>
        <w:rPr>
          <w:sz w:val="24"/>
        </w:rPr>
        <w:t>of</w:t>
      </w:r>
      <w:r>
        <w:rPr>
          <w:spacing w:val="-8"/>
          <w:sz w:val="24"/>
        </w:rPr>
        <w:t> </w:t>
      </w:r>
      <w:r>
        <w:rPr>
          <w:sz w:val="24"/>
        </w:rPr>
        <w:t>service</w:t>
      </w:r>
      <w:r>
        <w:rPr>
          <w:spacing w:val="-8"/>
          <w:sz w:val="24"/>
        </w:rPr>
        <w:t> </w:t>
      </w:r>
      <w:r>
        <w:rPr>
          <w:sz w:val="24"/>
        </w:rPr>
        <w:t>of</w:t>
      </w:r>
      <w:r>
        <w:rPr>
          <w:spacing w:val="-8"/>
          <w:sz w:val="24"/>
        </w:rPr>
        <w:t> </w:t>
      </w:r>
      <w:r>
        <w:rPr>
          <w:sz w:val="24"/>
        </w:rPr>
        <w:t>the</w:t>
      </w:r>
      <w:r>
        <w:rPr>
          <w:spacing w:val="-8"/>
          <w:sz w:val="24"/>
        </w:rPr>
        <w:t> </w:t>
      </w:r>
      <w:r>
        <w:rPr>
          <w:sz w:val="24"/>
        </w:rPr>
        <w:t>OAU</w:t>
      </w:r>
      <w:r>
        <w:rPr>
          <w:spacing w:val="-8"/>
          <w:sz w:val="24"/>
        </w:rPr>
        <w:t> </w:t>
      </w:r>
      <w:r>
        <w:rPr>
          <w:sz w:val="24"/>
        </w:rPr>
        <w:t>Scientific</w:t>
      </w:r>
      <w:r>
        <w:rPr>
          <w:spacing w:val="-8"/>
          <w:sz w:val="24"/>
        </w:rPr>
        <w:t> </w:t>
      </w:r>
      <w:r>
        <w:rPr>
          <w:sz w:val="24"/>
        </w:rPr>
        <w:t>Staff</w:t>
      </w:r>
      <w:r>
        <w:rPr>
          <w:spacing w:val="-8"/>
          <w:sz w:val="24"/>
        </w:rPr>
        <w:t> </w:t>
      </w:r>
      <w:r>
        <w:rPr>
          <w:sz w:val="24"/>
        </w:rPr>
        <w:t>with</w:t>
      </w:r>
      <w:r>
        <w:rPr>
          <w:spacing w:val="-8"/>
          <w:sz w:val="24"/>
        </w:rPr>
        <w:t> </w:t>
      </w:r>
      <w:r>
        <w:rPr>
          <w:sz w:val="24"/>
        </w:rPr>
        <w:t>a</w:t>
      </w:r>
      <w:r>
        <w:rPr>
          <w:spacing w:val="-8"/>
          <w:sz w:val="24"/>
        </w:rPr>
        <w:t> </w:t>
      </w:r>
      <w:r>
        <w:rPr>
          <w:sz w:val="24"/>
        </w:rPr>
        <w:t>view</w:t>
      </w:r>
      <w:r>
        <w:rPr>
          <w:spacing w:val="-8"/>
          <w:sz w:val="24"/>
        </w:rPr>
        <w:t> </w:t>
      </w:r>
      <w:r>
        <w:rPr>
          <w:sz w:val="24"/>
        </w:rPr>
        <w:t>to</w:t>
      </w:r>
      <w:r>
        <w:rPr>
          <w:spacing w:val="-6"/>
          <w:sz w:val="24"/>
        </w:rPr>
        <w:t> </w:t>
      </w:r>
      <w:r>
        <w:rPr>
          <w:sz w:val="24"/>
        </w:rPr>
        <w:t>improving</w:t>
      </w:r>
      <w:r>
        <w:rPr>
          <w:spacing w:val="-8"/>
          <w:sz w:val="24"/>
        </w:rPr>
        <w:t> </w:t>
      </w:r>
      <w:r>
        <w:rPr>
          <w:sz w:val="24"/>
        </w:rPr>
        <w:t>them so as to retain qualified experienced staff and maximize their output;</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39" w:right="404" w:hanging="720"/>
        <w:jc w:val="left"/>
        <w:rPr>
          <w:sz w:val="24"/>
        </w:rPr>
      </w:pPr>
      <w:r>
        <w:rPr>
          <w:sz w:val="24"/>
        </w:rPr>
        <w:t>APPEALS</w:t>
      </w:r>
      <w:r>
        <w:rPr>
          <w:spacing w:val="-10"/>
          <w:sz w:val="24"/>
        </w:rPr>
        <w:t> </w:t>
      </w:r>
      <w:r>
        <w:rPr>
          <w:sz w:val="24"/>
        </w:rPr>
        <w:t>to</w:t>
      </w:r>
      <w:r>
        <w:rPr>
          <w:spacing w:val="-8"/>
          <w:sz w:val="24"/>
        </w:rPr>
        <w:t> </w:t>
      </w:r>
      <w:r>
        <w:rPr>
          <w:sz w:val="24"/>
        </w:rPr>
        <w:t>the</w:t>
      </w:r>
      <w:r>
        <w:rPr>
          <w:spacing w:val="-10"/>
          <w:sz w:val="24"/>
        </w:rPr>
        <w:t> </w:t>
      </w:r>
      <w:r>
        <w:rPr>
          <w:sz w:val="24"/>
        </w:rPr>
        <w:t>Nigerian</w:t>
      </w:r>
      <w:r>
        <w:rPr>
          <w:spacing w:val="-10"/>
          <w:sz w:val="24"/>
        </w:rPr>
        <w:t> </w:t>
      </w:r>
      <w:r>
        <w:rPr>
          <w:sz w:val="24"/>
        </w:rPr>
        <w:t>Government</w:t>
      </w:r>
      <w:r>
        <w:rPr>
          <w:spacing w:val="-8"/>
          <w:sz w:val="24"/>
        </w:rPr>
        <w:t> </w:t>
      </w:r>
      <w:r>
        <w:rPr>
          <w:sz w:val="24"/>
        </w:rPr>
        <w:t>to</w:t>
      </w:r>
      <w:r>
        <w:rPr>
          <w:spacing w:val="-8"/>
          <w:sz w:val="24"/>
        </w:rPr>
        <w:t> </w:t>
      </w:r>
      <w:r>
        <w:rPr>
          <w:sz w:val="24"/>
        </w:rPr>
        <w:t>sign</w:t>
      </w:r>
      <w:r>
        <w:rPr>
          <w:spacing w:val="-10"/>
          <w:sz w:val="24"/>
        </w:rPr>
        <w:t> </w:t>
      </w:r>
      <w:r>
        <w:rPr>
          <w:sz w:val="24"/>
        </w:rPr>
        <w:t>the</w:t>
      </w:r>
      <w:r>
        <w:rPr>
          <w:spacing w:val="-10"/>
          <w:sz w:val="24"/>
        </w:rPr>
        <w:t> </w:t>
      </w:r>
      <w:r>
        <w:rPr>
          <w:sz w:val="24"/>
        </w:rPr>
        <w:t>Headquarters</w:t>
      </w:r>
      <w:r>
        <w:rPr>
          <w:spacing w:val="-10"/>
          <w:sz w:val="24"/>
        </w:rPr>
        <w:t> </w:t>
      </w:r>
      <w:r>
        <w:rPr>
          <w:sz w:val="24"/>
        </w:rPr>
        <w:t>Agreement</w:t>
      </w:r>
      <w:r>
        <w:rPr>
          <w:spacing w:val="-8"/>
          <w:sz w:val="24"/>
        </w:rPr>
        <w:t> </w:t>
      </w:r>
      <w:r>
        <w:rPr>
          <w:sz w:val="24"/>
        </w:rPr>
        <w:t>for STRC in Lagos and to provide it with suitable accommodation to enable this important organ of the OAU to function effectively.</w:t>
      </w:r>
    </w:p>
    <w:sectPr>
      <w:type w:val="continuous"/>
      <w:pgSz w:w="12240" w:h="15840"/>
      <w:pgMar w:top="13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839" w:right="303"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DECLARATION AND RESOLUTIONS</dc:title>
  <dcterms:created xsi:type="dcterms:W3CDTF">2023-04-11T21:34:18Z</dcterms:created>
  <dcterms:modified xsi:type="dcterms:W3CDTF">2023-04-11T21:34:18Z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2023-03-19T00:00:00Z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