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CM/Res.867</w:t>
      </w:r>
      <w:r>
        <w:rPr>
          <w:spacing w:val="-2"/>
        </w:rPr>
        <w:t> (XXXVII)</w:t>
      </w:r>
    </w:p>
    <w:p>
      <w:pPr>
        <w:pStyle w:val="BodyText"/>
        <w:rPr>
          <w:sz w:val="26"/>
        </w:rPr>
      </w:pPr>
    </w:p>
    <w:p>
      <w:pPr>
        <w:pStyle w:val="BodyText"/>
        <w:spacing w:before="3"/>
        <w:rPr>
          <w:sz w:val="22"/>
        </w:rPr>
      </w:pPr>
    </w:p>
    <w:p>
      <w:pPr>
        <w:pStyle w:val="BodyText"/>
        <w:spacing w:line="360" w:lineRule="auto"/>
        <w:ind w:left="3120" w:right="1123" w:hanging="1513"/>
      </w:pPr>
      <w:r>
        <w:rPr>
          <w:u w:val="single"/>
        </w:rPr>
        <w:t>RESOLUTION</w:t>
      </w:r>
      <w:r>
        <w:rPr>
          <w:spacing w:val="-9"/>
          <w:u w:val="single"/>
        </w:rPr>
        <w:t> </w:t>
      </w:r>
      <w:r>
        <w:rPr>
          <w:u w:val="single"/>
        </w:rPr>
        <w:t>OF</w:t>
      </w:r>
      <w:r>
        <w:rPr>
          <w:spacing w:val="-9"/>
          <w:u w:val="single"/>
        </w:rPr>
        <w:t> </w:t>
      </w:r>
      <w:r>
        <w:rPr>
          <w:u w:val="single"/>
        </w:rPr>
        <w:t>THE</w:t>
      </w:r>
      <w:r>
        <w:rPr>
          <w:spacing w:val="-9"/>
          <w:u w:val="single"/>
        </w:rPr>
        <w:t> </w:t>
      </w:r>
      <w:r>
        <w:rPr>
          <w:u w:val="single"/>
        </w:rPr>
        <w:t>ESTABLISHMENT</w:t>
      </w:r>
      <w:r>
        <w:rPr>
          <w:spacing w:val="-9"/>
          <w:u w:val="single"/>
        </w:rPr>
        <w:t> </w:t>
      </w:r>
      <w:r>
        <w:rPr>
          <w:u w:val="single"/>
        </w:rPr>
        <w:t>OF</w:t>
      </w:r>
      <w:r>
        <w:rPr>
          <w:spacing w:val="-9"/>
          <w:u w:val="single"/>
        </w:rPr>
        <w:t> </w:t>
      </w:r>
      <w:r>
        <w:rPr>
          <w:u w:val="single"/>
        </w:rPr>
        <w:t>THE</w:t>
      </w:r>
      <w:r>
        <w:rPr/>
        <w:t> </w:t>
      </w:r>
      <w:r>
        <w:rPr>
          <w:u w:val="single"/>
        </w:rPr>
        <w:t>OAU DEFENCE FORCE</w:t>
      </w:r>
    </w:p>
    <w:p>
      <w:pPr>
        <w:pStyle w:val="BodyText"/>
        <w:spacing w:before="10"/>
        <w:rPr>
          <w:sz w:val="27"/>
        </w:rPr>
      </w:pPr>
    </w:p>
    <w:p>
      <w:pPr>
        <w:pStyle w:val="BodyText"/>
        <w:spacing w:line="362"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7"/>
        <w:rPr>
          <w:sz w:val="35"/>
        </w:rPr>
      </w:pPr>
    </w:p>
    <w:p>
      <w:pPr>
        <w:pStyle w:val="BodyText"/>
        <w:spacing w:line="360" w:lineRule="auto"/>
        <w:ind w:left="119"/>
      </w:pPr>
      <w:r>
        <w:rPr>
          <w:u w:val="single"/>
        </w:rPr>
        <w:t>Having</w:t>
      </w:r>
      <w:r>
        <w:rPr>
          <w:spacing w:val="-4"/>
          <w:u w:val="single"/>
        </w:rPr>
        <w:t> </w:t>
      </w:r>
      <w:r>
        <w:rPr>
          <w:u w:val="single"/>
        </w:rPr>
        <w:t>taken</w:t>
      </w:r>
      <w:r>
        <w:rPr>
          <w:spacing w:val="-4"/>
          <w:u w:val="single"/>
        </w:rPr>
        <w:t> </w:t>
      </w:r>
      <w:r>
        <w:rPr>
          <w:u w:val="single"/>
        </w:rPr>
        <w:t>cognizance</w:t>
      </w:r>
      <w:r>
        <w:rPr>
          <w:spacing w:val="-1"/>
        </w:rPr>
        <w:t> </w:t>
      </w:r>
      <w:r>
        <w:rPr/>
        <w:t>of</w:t>
      </w:r>
      <w:r>
        <w:rPr>
          <w:spacing w:val="-4"/>
        </w:rPr>
        <w:t> </w:t>
      </w:r>
      <w:r>
        <w:rPr/>
        <w:t>the</w:t>
      </w:r>
      <w:r>
        <w:rPr>
          <w:spacing w:val="-4"/>
        </w:rPr>
        <w:t> </w:t>
      </w:r>
      <w:r>
        <w:rPr/>
        <w:t>report</w:t>
      </w:r>
      <w:r>
        <w:rPr>
          <w:spacing w:val="-3"/>
        </w:rPr>
        <w:t> </w:t>
      </w:r>
      <w:r>
        <w:rPr/>
        <w:t>of</w:t>
      </w:r>
      <w:r>
        <w:rPr>
          <w:spacing w:val="-4"/>
        </w:rPr>
        <w:t> </w:t>
      </w:r>
      <w:r>
        <w:rPr/>
        <w:t>the</w:t>
      </w:r>
      <w:r>
        <w:rPr>
          <w:spacing w:val="-4"/>
        </w:rPr>
        <w:t> </w:t>
      </w:r>
      <w:r>
        <w:rPr/>
        <w:t>Seventh</w:t>
      </w:r>
      <w:r>
        <w:rPr>
          <w:spacing w:val="-4"/>
        </w:rPr>
        <w:t> </w:t>
      </w:r>
      <w:r>
        <w:rPr/>
        <w:t>Ordinary</w:t>
      </w:r>
      <w:r>
        <w:rPr>
          <w:spacing w:val="-4"/>
        </w:rPr>
        <w:t> </w:t>
      </w:r>
      <w:r>
        <w:rPr/>
        <w:t>Session</w:t>
      </w:r>
      <w:r>
        <w:rPr>
          <w:spacing w:val="-4"/>
        </w:rPr>
        <w:t> </w:t>
      </w:r>
      <w:r>
        <w:rPr/>
        <w:t>of</w:t>
      </w:r>
      <w:r>
        <w:rPr>
          <w:spacing w:val="-4"/>
        </w:rPr>
        <w:t> </w:t>
      </w:r>
      <w:r>
        <w:rPr/>
        <w:t>the</w:t>
      </w:r>
      <w:r>
        <w:rPr>
          <w:spacing w:val="-4"/>
        </w:rPr>
        <w:t> </w:t>
      </w:r>
      <w:r>
        <w:rPr/>
        <w:t>OAU Defence Commission,</w:t>
      </w:r>
    </w:p>
    <w:p>
      <w:pPr>
        <w:pStyle w:val="BodyText"/>
        <w:spacing w:before="1"/>
        <w:rPr>
          <w:sz w:val="36"/>
        </w:rPr>
      </w:pPr>
    </w:p>
    <w:p>
      <w:pPr>
        <w:pStyle w:val="BodyText"/>
        <w:ind w:left="120"/>
      </w:pPr>
      <w:r>
        <w:rPr>
          <w:u w:val="single"/>
        </w:rPr>
        <w:t>Bearing</w:t>
      </w:r>
      <w:r>
        <w:rPr>
          <w:spacing w:val="-5"/>
          <w:u w:val="single"/>
        </w:rPr>
        <w:t> </w:t>
      </w:r>
      <w:r>
        <w:rPr>
          <w:u w:val="single"/>
        </w:rPr>
        <w:t>in</w:t>
      </w:r>
      <w:r>
        <w:rPr>
          <w:spacing w:val="-2"/>
          <w:u w:val="single"/>
        </w:rPr>
        <w:t> </w:t>
      </w:r>
      <w:r>
        <w:rPr>
          <w:u w:val="single"/>
        </w:rPr>
        <w:t>mind</w:t>
      </w:r>
      <w:r>
        <w:rPr>
          <w:spacing w:val="-4"/>
        </w:rPr>
        <w:t> </w:t>
      </w:r>
      <w:r>
        <w:rPr/>
        <w:t>its</w:t>
      </w:r>
      <w:r>
        <w:rPr>
          <w:spacing w:val="-5"/>
        </w:rPr>
        <w:t> </w:t>
      </w:r>
      <w:r>
        <w:rPr/>
        <w:t>decision</w:t>
      </w:r>
      <w:r>
        <w:rPr>
          <w:spacing w:val="-5"/>
        </w:rPr>
        <w:t> </w:t>
      </w:r>
      <w:r>
        <w:rPr/>
        <w:t>on</w:t>
      </w:r>
      <w:r>
        <w:rPr>
          <w:spacing w:val="-5"/>
        </w:rPr>
        <w:t> </w:t>
      </w:r>
      <w:r>
        <w:rPr/>
        <w:t>the</w:t>
      </w:r>
      <w:r>
        <w:rPr>
          <w:spacing w:val="-5"/>
        </w:rPr>
        <w:t> </w:t>
      </w:r>
      <w:r>
        <w:rPr/>
        <w:t>establishment</w:t>
      </w:r>
      <w:r>
        <w:rPr>
          <w:spacing w:val="-5"/>
        </w:rPr>
        <w:t> </w:t>
      </w:r>
      <w:r>
        <w:rPr/>
        <w:t>of</w:t>
      </w:r>
      <w:r>
        <w:rPr>
          <w:spacing w:val="-5"/>
        </w:rPr>
        <w:t> </w:t>
      </w:r>
      <w:r>
        <w:rPr/>
        <w:t>a</w:t>
      </w:r>
      <w:r>
        <w:rPr>
          <w:spacing w:val="-6"/>
        </w:rPr>
        <w:t> </w:t>
      </w:r>
      <w:r>
        <w:rPr/>
        <w:t>Ministerial</w:t>
      </w:r>
      <w:r>
        <w:rPr>
          <w:spacing w:val="-5"/>
        </w:rPr>
        <w:t> </w:t>
      </w:r>
      <w:r>
        <w:rPr>
          <w:spacing w:val="-2"/>
        </w:rPr>
        <w:t>Committee:</w:t>
      </w:r>
    </w:p>
    <w:p>
      <w:pPr>
        <w:pStyle w:val="BodyText"/>
        <w:rPr>
          <w:sz w:val="26"/>
        </w:rPr>
      </w:pPr>
    </w:p>
    <w:p>
      <w:pPr>
        <w:pStyle w:val="BodyText"/>
        <w:spacing w:before="9"/>
        <w:rPr>
          <w:sz w:val="21"/>
        </w:rPr>
      </w:pPr>
    </w:p>
    <w:p>
      <w:pPr>
        <w:pStyle w:val="BodyText"/>
        <w:spacing w:line="360" w:lineRule="auto"/>
        <w:ind w:left="840" w:right="211"/>
      </w:pPr>
      <w:r>
        <w:rPr/>
        <w:t>RECOMMENDS</w:t>
      </w:r>
      <w:r>
        <w:rPr>
          <w:spacing w:val="-5"/>
        </w:rPr>
        <w:t> </w:t>
      </w:r>
      <w:r>
        <w:rPr/>
        <w:t>that</w:t>
      </w:r>
      <w:r>
        <w:rPr>
          <w:spacing w:val="-5"/>
        </w:rPr>
        <w:t> </w:t>
      </w:r>
      <w:r>
        <w:rPr/>
        <w:t>the</w:t>
      </w:r>
      <w:r>
        <w:rPr>
          <w:spacing w:val="-6"/>
        </w:rPr>
        <w:t> </w:t>
      </w:r>
      <w:r>
        <w:rPr/>
        <w:t>report</w:t>
      </w:r>
      <w:r>
        <w:rPr>
          <w:spacing w:val="-5"/>
        </w:rPr>
        <w:t> </w:t>
      </w:r>
      <w:r>
        <w:rPr/>
        <w:t>of</w:t>
      </w:r>
      <w:r>
        <w:rPr>
          <w:spacing w:val="-5"/>
        </w:rPr>
        <w:t> </w:t>
      </w:r>
      <w:r>
        <w:rPr/>
        <w:t>the</w:t>
      </w:r>
      <w:r>
        <w:rPr>
          <w:spacing w:val="-5"/>
        </w:rPr>
        <w:t> </w:t>
      </w:r>
      <w:r>
        <w:rPr/>
        <w:t>Seventh</w:t>
      </w:r>
      <w:r>
        <w:rPr>
          <w:spacing w:val="-5"/>
        </w:rPr>
        <w:t> </w:t>
      </w:r>
      <w:r>
        <w:rPr/>
        <w:t>Ordinary</w:t>
      </w:r>
      <w:r>
        <w:rPr>
          <w:spacing w:val="-5"/>
        </w:rPr>
        <w:t> </w:t>
      </w:r>
      <w:r>
        <w:rPr/>
        <w:t>Session</w:t>
      </w:r>
      <w:r>
        <w:rPr>
          <w:spacing w:val="-5"/>
        </w:rPr>
        <w:t> </w:t>
      </w:r>
      <w:r>
        <w:rPr/>
        <w:t>of</w:t>
      </w:r>
      <w:r>
        <w:rPr>
          <w:spacing w:val="-5"/>
        </w:rPr>
        <w:t> </w:t>
      </w:r>
      <w:r>
        <w:rPr/>
        <w:t>the OAU Defence Commission be referred to the body that set up the said Commission and placed at the disposal of the Ministerial Committee established by the Council of Ministers at its Thirty-seventh Ordinary Session, for consideration.</w:t>
      </w:r>
    </w:p>
    <w:sectPr>
      <w:type w:val="continuous"/>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2023-04-11T21:35:39Z</dcterms:created>
  <dcterms:modified xsi:type="dcterms:W3CDTF">2023-04-11T21:35:39Z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