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CM/Res.884</w:t>
      </w:r>
      <w:r>
        <w:rPr>
          <w:spacing w:val="-2"/>
        </w:rPr>
        <w:t> (XXXVII)</w:t>
      </w:r>
    </w:p>
    <w:p>
      <w:pPr>
        <w:pStyle w:val="BodyText"/>
        <w:rPr>
          <w:sz w:val="26"/>
        </w:rPr>
      </w:pPr>
    </w:p>
    <w:p>
      <w:pPr>
        <w:pStyle w:val="BodyText"/>
        <w:spacing w:before="3"/>
        <w:rPr>
          <w:sz w:val="22"/>
        </w:rPr>
      </w:pPr>
    </w:p>
    <w:p>
      <w:pPr>
        <w:pStyle w:val="BodyText"/>
        <w:spacing w:line="360" w:lineRule="auto"/>
        <w:ind w:left="2183" w:right="1618" w:hanging="269"/>
      </w:pPr>
      <w:r>
        <w:rPr>
          <w:u w:val="single"/>
        </w:rPr>
        <w:t>RESOLUTION</w:t>
      </w:r>
      <w:r>
        <w:rPr>
          <w:spacing w:val="-8"/>
          <w:u w:val="single"/>
        </w:rPr>
        <w:t> </w:t>
      </w:r>
      <w:r>
        <w:rPr>
          <w:u w:val="single"/>
        </w:rPr>
        <w:t>ON</w:t>
      </w:r>
      <w:r>
        <w:rPr>
          <w:spacing w:val="-8"/>
          <w:u w:val="single"/>
        </w:rPr>
        <w:t> </w:t>
      </w:r>
      <w:r>
        <w:rPr>
          <w:u w:val="single"/>
        </w:rPr>
        <w:t>THE</w:t>
      </w:r>
      <w:r>
        <w:rPr>
          <w:spacing w:val="-8"/>
          <w:u w:val="single"/>
        </w:rPr>
        <w:t> </w:t>
      </w:r>
      <w:r>
        <w:rPr>
          <w:u w:val="single"/>
        </w:rPr>
        <w:t>CODE</w:t>
      </w:r>
      <w:r>
        <w:rPr>
          <w:spacing w:val="-8"/>
          <w:u w:val="single"/>
        </w:rPr>
        <w:t> </w:t>
      </w:r>
      <w:r>
        <w:rPr>
          <w:u w:val="single"/>
        </w:rPr>
        <w:t>OF</w:t>
      </w:r>
      <w:r>
        <w:rPr>
          <w:spacing w:val="-8"/>
          <w:u w:val="single"/>
        </w:rPr>
        <w:t> </w:t>
      </w:r>
      <w:r>
        <w:rPr>
          <w:u w:val="single"/>
        </w:rPr>
        <w:t>CONDUCT</w:t>
      </w:r>
      <w:r>
        <w:rPr/>
        <w:t> </w:t>
      </w:r>
      <w:r>
        <w:rPr>
          <w:u w:val="single"/>
        </w:rPr>
        <w:t>ON THE TRANSFER OF TECHNOLOGY</w:t>
      </w:r>
    </w:p>
    <w:p>
      <w:pPr>
        <w:pStyle w:val="BodyText"/>
        <w:spacing w:before="10"/>
        <w:rPr>
          <w:sz w:val="27"/>
        </w:rPr>
      </w:pPr>
    </w:p>
    <w:p>
      <w:pPr>
        <w:pStyle w:val="BodyText"/>
        <w:spacing w:line="362" w:lineRule="auto" w:before="90"/>
        <w:ind w:left="10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to 26 June 1981,</w:t>
      </w:r>
    </w:p>
    <w:p>
      <w:pPr>
        <w:pStyle w:val="BodyText"/>
        <w:spacing w:before="7"/>
        <w:rPr>
          <w:sz w:val="35"/>
        </w:rPr>
      </w:pPr>
    </w:p>
    <w:p>
      <w:pPr>
        <w:pStyle w:val="BodyText"/>
        <w:spacing w:line="360" w:lineRule="auto"/>
        <w:ind w:left="100"/>
      </w:pPr>
      <w:r>
        <w:rPr>
          <w:u w:val="single"/>
        </w:rPr>
        <w:t>Having</w:t>
      </w:r>
      <w:r>
        <w:rPr>
          <w:spacing w:val="-5"/>
          <w:u w:val="single"/>
        </w:rPr>
        <w:t> </w:t>
      </w:r>
      <w:r>
        <w:rPr>
          <w:u w:val="single"/>
        </w:rPr>
        <w:t>examined</w:t>
      </w:r>
      <w:r>
        <w:rPr>
          <w:spacing w:val="-3"/>
        </w:rPr>
        <w:t> </w:t>
      </w:r>
      <w:r>
        <w:rPr/>
        <w:t>the</w:t>
      </w:r>
      <w:r>
        <w:rPr>
          <w:spacing w:val="-5"/>
        </w:rPr>
        <w:t> </w:t>
      </w:r>
      <w:r>
        <w:rPr/>
        <w:t>report</w:t>
      </w:r>
      <w:r>
        <w:rPr>
          <w:spacing w:val="-4"/>
        </w:rPr>
        <w:t> </w:t>
      </w:r>
      <w:r>
        <w:rPr/>
        <w:t>of</w:t>
      </w:r>
      <w:r>
        <w:rPr>
          <w:spacing w:val="-5"/>
        </w:rPr>
        <w:t> </w:t>
      </w:r>
      <w:r>
        <w:rPr/>
        <w:t>the</w:t>
      </w:r>
      <w:r>
        <w:rPr>
          <w:spacing w:val="-5"/>
        </w:rPr>
        <w:t> </w:t>
      </w:r>
      <w:r>
        <w:rPr/>
        <w:t>Secretary-General</w:t>
      </w:r>
      <w:r>
        <w:rPr>
          <w:spacing w:val="-4"/>
        </w:rPr>
        <w:t> </w:t>
      </w:r>
      <w:r>
        <w:rPr/>
        <w:t>contained</w:t>
      </w:r>
      <w:r>
        <w:rPr>
          <w:spacing w:val="-5"/>
        </w:rPr>
        <w:t> </w:t>
      </w:r>
      <w:r>
        <w:rPr/>
        <w:t>in</w:t>
      </w:r>
      <w:r>
        <w:rPr>
          <w:spacing w:val="-5"/>
        </w:rPr>
        <w:t> </w:t>
      </w:r>
      <w:r>
        <w:rPr/>
        <w:t>Document CM/1133 (XXXVIII) on the Code of Conduct on the transfer of technology,</w:t>
      </w:r>
    </w:p>
    <w:p>
      <w:pPr>
        <w:pStyle w:val="BodyText"/>
        <w:spacing w:before="1"/>
        <w:rPr>
          <w:sz w:val="36"/>
        </w:rPr>
      </w:pPr>
    </w:p>
    <w:p>
      <w:pPr>
        <w:pStyle w:val="BodyText"/>
        <w:spacing w:line="360" w:lineRule="auto"/>
        <w:ind w:left="100"/>
      </w:pPr>
      <w:r>
        <w:rPr>
          <w:u w:val="single"/>
        </w:rPr>
        <w:t>Recalling</w:t>
      </w:r>
      <w:r>
        <w:rPr/>
        <w:t> Resolution CM/674 (XXXI) on Transfer of Technology adopted by the Council</w:t>
      </w:r>
      <w:r>
        <w:rPr>
          <w:spacing w:val="-4"/>
        </w:rPr>
        <w:t> </w:t>
      </w:r>
      <w:r>
        <w:rPr/>
        <w:t>during</w:t>
      </w:r>
      <w:r>
        <w:rPr>
          <w:spacing w:val="-4"/>
        </w:rPr>
        <w:t> </w:t>
      </w:r>
      <w:r>
        <w:rPr/>
        <w:t>its</w:t>
      </w:r>
      <w:r>
        <w:rPr>
          <w:spacing w:val="-4"/>
        </w:rPr>
        <w:t> </w:t>
      </w:r>
      <w:r>
        <w:rPr/>
        <w:t>Thirty-first</w:t>
      </w:r>
      <w:r>
        <w:rPr>
          <w:spacing w:val="-3"/>
        </w:rPr>
        <w:t> </w:t>
      </w:r>
      <w:r>
        <w:rPr/>
        <w:t>Ordinary</w:t>
      </w:r>
      <w:r>
        <w:rPr>
          <w:spacing w:val="-4"/>
        </w:rPr>
        <w:t> </w:t>
      </w:r>
      <w:r>
        <w:rPr/>
        <w:t>Session</w:t>
      </w:r>
      <w:r>
        <w:rPr>
          <w:spacing w:val="-4"/>
        </w:rPr>
        <w:t> </w:t>
      </w:r>
      <w:r>
        <w:rPr/>
        <w:t>held</w:t>
      </w:r>
      <w:r>
        <w:rPr>
          <w:spacing w:val="-4"/>
        </w:rPr>
        <w:t> </w:t>
      </w:r>
      <w:r>
        <w:rPr/>
        <w:t>in</w:t>
      </w:r>
      <w:r>
        <w:rPr>
          <w:spacing w:val="-3"/>
        </w:rPr>
        <w:t> </w:t>
      </w:r>
      <w:r>
        <w:rPr/>
        <w:t>Khartoum</w:t>
      </w:r>
      <w:r>
        <w:rPr>
          <w:spacing w:val="-4"/>
        </w:rPr>
        <w:t> </w:t>
      </w:r>
      <w:r>
        <w:rPr/>
        <w:t>from</w:t>
      </w:r>
      <w:r>
        <w:rPr>
          <w:spacing w:val="-4"/>
        </w:rPr>
        <w:t> </w:t>
      </w:r>
      <w:r>
        <w:rPr/>
        <w:t>7</w:t>
      </w:r>
      <w:r>
        <w:rPr>
          <w:spacing w:val="-4"/>
        </w:rPr>
        <w:t> </w:t>
      </w:r>
      <w:r>
        <w:rPr/>
        <w:t>to</w:t>
      </w:r>
      <w:r>
        <w:rPr>
          <w:spacing w:val="-4"/>
        </w:rPr>
        <w:t> </w:t>
      </w:r>
      <w:r>
        <w:rPr/>
        <w:t>18</w:t>
      </w:r>
      <w:r>
        <w:rPr>
          <w:spacing w:val="-4"/>
        </w:rPr>
        <w:t> </w:t>
      </w:r>
      <w:r>
        <w:rPr/>
        <w:t>July </w:t>
      </w:r>
      <w:r>
        <w:rPr>
          <w:spacing w:val="-2"/>
        </w:rPr>
        <w:t>1978,</w:t>
      </w:r>
    </w:p>
    <w:p>
      <w:pPr>
        <w:pStyle w:val="BodyText"/>
        <w:rPr>
          <w:sz w:val="36"/>
        </w:rPr>
      </w:pPr>
    </w:p>
    <w:p>
      <w:pPr>
        <w:pStyle w:val="BodyText"/>
        <w:spacing w:line="360" w:lineRule="auto"/>
        <w:ind w:left="100"/>
      </w:pPr>
      <w:r>
        <w:rPr>
          <w:u w:val="single"/>
        </w:rPr>
        <w:t>Guided</w:t>
      </w:r>
      <w:r>
        <w:rPr/>
        <w:t> by the decision of the Assembly of Heads of State and Government, enunciated</w:t>
      </w:r>
      <w:r>
        <w:rPr>
          <w:spacing w:val="-4"/>
        </w:rPr>
        <w:t> </w:t>
      </w:r>
      <w:r>
        <w:rPr/>
        <w:t>in</w:t>
      </w:r>
      <w:r>
        <w:rPr>
          <w:spacing w:val="-4"/>
        </w:rPr>
        <w:t> </w:t>
      </w:r>
      <w:r>
        <w:rPr/>
        <w:t>the</w:t>
      </w:r>
      <w:r>
        <w:rPr>
          <w:spacing w:val="-5"/>
        </w:rPr>
        <w:t> </w:t>
      </w:r>
      <w:r>
        <w:rPr/>
        <w:t>Lagos</w:t>
      </w:r>
      <w:r>
        <w:rPr>
          <w:spacing w:val="-5"/>
        </w:rPr>
        <w:t> </w:t>
      </w:r>
      <w:r>
        <w:rPr/>
        <w:t>Plan</w:t>
      </w:r>
      <w:r>
        <w:rPr>
          <w:spacing w:val="-4"/>
        </w:rPr>
        <w:t> </w:t>
      </w:r>
      <w:r>
        <w:rPr/>
        <w:t>of</w:t>
      </w:r>
      <w:r>
        <w:rPr>
          <w:spacing w:val="-5"/>
        </w:rPr>
        <w:t> </w:t>
      </w:r>
      <w:r>
        <w:rPr/>
        <w:t>Action</w:t>
      </w:r>
      <w:r>
        <w:rPr>
          <w:spacing w:val="-4"/>
        </w:rPr>
        <w:t> </w:t>
      </w:r>
      <w:r>
        <w:rPr/>
        <w:t>requesting</w:t>
      </w:r>
      <w:r>
        <w:rPr>
          <w:spacing w:val="-4"/>
        </w:rPr>
        <w:t> </w:t>
      </w:r>
      <w:r>
        <w:rPr/>
        <w:t>that</w:t>
      </w:r>
      <w:r>
        <w:rPr>
          <w:spacing w:val="-4"/>
        </w:rPr>
        <w:t> </w:t>
      </w:r>
      <w:r>
        <w:rPr/>
        <w:t>action</w:t>
      </w:r>
      <w:r>
        <w:rPr>
          <w:spacing w:val="-4"/>
        </w:rPr>
        <w:t> </w:t>
      </w:r>
      <w:r>
        <w:rPr/>
        <w:t>should</w:t>
      </w:r>
      <w:r>
        <w:rPr>
          <w:spacing w:val="-4"/>
        </w:rPr>
        <w:t> </w:t>
      </w:r>
      <w:r>
        <w:rPr/>
        <w:t>be</w:t>
      </w:r>
      <w:r>
        <w:rPr>
          <w:spacing w:val="-4"/>
        </w:rPr>
        <w:t> </w:t>
      </w:r>
      <w:r>
        <w:rPr/>
        <w:t>taken</w:t>
      </w:r>
      <w:r>
        <w:rPr>
          <w:spacing w:val="-4"/>
        </w:rPr>
        <w:t> </w:t>
      </w:r>
      <w:r>
        <w:rPr/>
        <w:t>to ensure</w:t>
      </w:r>
      <w:r>
        <w:rPr>
          <w:spacing w:val="-2"/>
        </w:rPr>
        <w:t> </w:t>
      </w:r>
      <w:r>
        <w:rPr/>
        <w:t>that</w:t>
      </w:r>
      <w:r>
        <w:rPr>
          <w:spacing w:val="-1"/>
        </w:rPr>
        <w:t> </w:t>
      </w:r>
      <w:r>
        <w:rPr/>
        <w:t>technology</w:t>
      </w:r>
      <w:r>
        <w:rPr>
          <w:spacing w:val="-2"/>
        </w:rPr>
        <w:t> </w:t>
      </w:r>
      <w:r>
        <w:rPr/>
        <w:t>is</w:t>
      </w:r>
      <w:r>
        <w:rPr>
          <w:spacing w:val="-2"/>
        </w:rPr>
        <w:t> </w:t>
      </w:r>
      <w:r>
        <w:rPr/>
        <w:t>transferred</w:t>
      </w:r>
      <w:r>
        <w:rPr>
          <w:spacing w:val="-2"/>
        </w:rPr>
        <w:t> </w:t>
      </w:r>
      <w:r>
        <w:rPr/>
        <w:t>under</w:t>
      </w:r>
      <w:r>
        <w:rPr>
          <w:spacing w:val="-2"/>
        </w:rPr>
        <w:t> </w:t>
      </w:r>
      <w:r>
        <w:rPr/>
        <w:t>general</w:t>
      </w:r>
      <w:r>
        <w:rPr>
          <w:spacing w:val="-2"/>
        </w:rPr>
        <w:t> </w:t>
      </w:r>
      <w:r>
        <w:rPr/>
        <w:t>conditions</w:t>
      </w:r>
      <w:r>
        <w:rPr>
          <w:spacing w:val="-2"/>
        </w:rPr>
        <w:t> </w:t>
      </w:r>
      <w:r>
        <w:rPr/>
        <w:t>acceptable</w:t>
      </w:r>
      <w:r>
        <w:rPr>
          <w:spacing w:val="-2"/>
        </w:rPr>
        <w:t> </w:t>
      </w:r>
      <w:r>
        <w:rPr/>
        <w:t>to</w:t>
      </w:r>
      <w:r>
        <w:rPr>
          <w:spacing w:val="-2"/>
        </w:rPr>
        <w:t> </w:t>
      </w:r>
      <w:r>
        <w:rPr/>
        <w:t>the recipient country,</w:t>
      </w:r>
    </w:p>
    <w:p>
      <w:pPr>
        <w:pStyle w:val="BodyText"/>
        <w:spacing w:before="11"/>
        <w:rPr>
          <w:sz w:val="35"/>
        </w:rPr>
      </w:pPr>
    </w:p>
    <w:p>
      <w:pPr>
        <w:pStyle w:val="BodyText"/>
        <w:spacing w:line="360" w:lineRule="auto"/>
        <w:ind w:left="100"/>
      </w:pPr>
      <w:r>
        <w:rPr>
          <w:u w:val="single"/>
        </w:rPr>
        <w:t>Noting</w:t>
      </w:r>
      <w:r>
        <w:rPr>
          <w:spacing w:val="-5"/>
          <w:u w:val="single"/>
        </w:rPr>
        <w:t> </w:t>
      </w:r>
      <w:r>
        <w:rPr>
          <w:u w:val="single"/>
        </w:rPr>
        <w:t>with</w:t>
      </w:r>
      <w:r>
        <w:rPr>
          <w:spacing w:val="-5"/>
          <w:u w:val="single"/>
        </w:rPr>
        <w:t> </w:t>
      </w:r>
      <w:r>
        <w:rPr>
          <w:u w:val="single"/>
        </w:rPr>
        <w:t>regret</w:t>
      </w:r>
      <w:r>
        <w:rPr>
          <w:spacing w:val="-1"/>
        </w:rPr>
        <w:t> </w:t>
      </w:r>
      <w:r>
        <w:rPr/>
        <w:t>the</w:t>
      </w:r>
      <w:r>
        <w:rPr>
          <w:spacing w:val="-5"/>
        </w:rPr>
        <w:t> </w:t>
      </w:r>
      <w:r>
        <w:rPr/>
        <w:t>unsatisfactory</w:t>
      </w:r>
      <w:r>
        <w:rPr>
          <w:spacing w:val="-5"/>
        </w:rPr>
        <w:t> </w:t>
      </w:r>
      <w:r>
        <w:rPr/>
        <w:t>outcome</w:t>
      </w:r>
      <w:r>
        <w:rPr>
          <w:spacing w:val="-5"/>
        </w:rPr>
        <w:t> </w:t>
      </w:r>
      <w:r>
        <w:rPr/>
        <w:t>of</w:t>
      </w:r>
      <w:r>
        <w:rPr>
          <w:spacing w:val="-5"/>
        </w:rPr>
        <w:t> </w:t>
      </w:r>
      <w:r>
        <w:rPr/>
        <w:t>the</w:t>
      </w:r>
      <w:r>
        <w:rPr>
          <w:spacing w:val="-5"/>
        </w:rPr>
        <w:t> </w:t>
      </w:r>
      <w:r>
        <w:rPr/>
        <w:t>last</w:t>
      </w:r>
      <w:r>
        <w:rPr>
          <w:spacing w:val="-4"/>
        </w:rPr>
        <w:t> </w:t>
      </w:r>
      <w:r>
        <w:rPr/>
        <w:t>four</w:t>
      </w:r>
      <w:r>
        <w:rPr>
          <w:spacing w:val="-5"/>
        </w:rPr>
        <w:t> </w:t>
      </w:r>
      <w:r>
        <w:rPr/>
        <w:t>Sessions</w:t>
      </w:r>
      <w:r>
        <w:rPr>
          <w:spacing w:val="-5"/>
        </w:rPr>
        <w:t> </w:t>
      </w:r>
      <w:r>
        <w:rPr/>
        <w:t>of</w:t>
      </w:r>
      <w:r>
        <w:rPr>
          <w:spacing w:val="-5"/>
        </w:rPr>
        <w:t> </w:t>
      </w:r>
      <w:r>
        <w:rPr/>
        <w:t>the</w:t>
      </w:r>
      <w:r>
        <w:rPr>
          <w:spacing w:val="-5"/>
        </w:rPr>
        <w:t> </w:t>
      </w:r>
      <w:r>
        <w:rPr/>
        <w:t>United Nations conference mandated to negotiate an international Code of Conduct on Transfer of Technology,</w:t>
      </w:r>
    </w:p>
    <w:p>
      <w:pPr>
        <w:pStyle w:val="BodyText"/>
        <w:rPr>
          <w:sz w:val="36"/>
        </w:rPr>
      </w:pPr>
    </w:p>
    <w:p>
      <w:pPr>
        <w:pStyle w:val="BodyText"/>
        <w:spacing w:line="360" w:lineRule="auto"/>
        <w:ind w:left="100" w:hanging="1"/>
      </w:pPr>
      <w:r>
        <w:rPr>
          <w:u w:val="single"/>
        </w:rPr>
        <w:t>Cognizant</w:t>
      </w:r>
      <w:r>
        <w:rPr>
          <w:spacing w:val="-3"/>
        </w:rPr>
        <w:t> </w:t>
      </w:r>
      <w:r>
        <w:rPr/>
        <w:t>of</w:t>
      </w:r>
      <w:r>
        <w:rPr>
          <w:spacing w:val="-5"/>
        </w:rPr>
        <w:t> </w:t>
      </w:r>
      <w:r>
        <w:rPr/>
        <w:t>the</w:t>
      </w:r>
      <w:r>
        <w:rPr>
          <w:spacing w:val="-5"/>
        </w:rPr>
        <w:t> </w:t>
      </w:r>
      <w:r>
        <w:rPr/>
        <w:t>urgent</w:t>
      </w:r>
      <w:r>
        <w:rPr>
          <w:spacing w:val="-4"/>
        </w:rPr>
        <w:t> </w:t>
      </w:r>
      <w:r>
        <w:rPr/>
        <w:t>need</w:t>
      </w:r>
      <w:r>
        <w:rPr>
          <w:spacing w:val="-5"/>
        </w:rPr>
        <w:t> </w:t>
      </w:r>
      <w:r>
        <w:rPr/>
        <w:t>to</w:t>
      </w:r>
      <w:r>
        <w:rPr>
          <w:spacing w:val="-5"/>
        </w:rPr>
        <w:t> </w:t>
      </w:r>
      <w:r>
        <w:rPr/>
        <w:t>redress</w:t>
      </w:r>
      <w:r>
        <w:rPr>
          <w:spacing w:val="-5"/>
        </w:rPr>
        <w:t> </w:t>
      </w:r>
      <w:r>
        <w:rPr/>
        <w:t>the</w:t>
      </w:r>
      <w:r>
        <w:rPr>
          <w:spacing w:val="-5"/>
        </w:rPr>
        <w:t> </w:t>
      </w:r>
      <w:r>
        <w:rPr/>
        <w:t>inequitable</w:t>
      </w:r>
      <w:r>
        <w:rPr>
          <w:spacing w:val="-5"/>
        </w:rPr>
        <w:t> </w:t>
      </w:r>
      <w:r>
        <w:rPr/>
        <w:t>features</w:t>
      </w:r>
      <w:r>
        <w:rPr>
          <w:spacing w:val="-5"/>
        </w:rPr>
        <w:t> </w:t>
      </w:r>
      <w:r>
        <w:rPr/>
        <w:t>of the</w:t>
      </w:r>
      <w:r>
        <w:rPr>
          <w:spacing w:val="-5"/>
        </w:rPr>
        <w:t> </w:t>
      </w:r>
      <w:r>
        <w:rPr/>
        <w:t>international technology market, in all its entirety:</w:t>
      </w:r>
    </w:p>
    <w:p>
      <w:pPr>
        <w:pStyle w:val="BodyText"/>
        <w:spacing w:before="1"/>
        <w:rPr>
          <w:sz w:val="36"/>
        </w:rPr>
      </w:pPr>
    </w:p>
    <w:p>
      <w:pPr>
        <w:pStyle w:val="ListParagraph"/>
        <w:numPr>
          <w:ilvl w:val="0"/>
          <w:numId w:val="1"/>
        </w:numPr>
        <w:tabs>
          <w:tab w:pos="819" w:val="left" w:leader="none"/>
          <w:tab w:pos="820" w:val="left" w:leader="none"/>
        </w:tabs>
        <w:spacing w:line="360" w:lineRule="auto" w:before="0" w:after="0"/>
        <w:ind w:left="820" w:right="265" w:hanging="720"/>
        <w:jc w:val="left"/>
        <w:rPr>
          <w:b/>
          <w:sz w:val="24"/>
        </w:rPr>
      </w:pPr>
      <w:r>
        <w:rPr>
          <w:b/>
          <w:sz w:val="24"/>
        </w:rPr>
        <w:t>CALLS</w:t>
      </w:r>
      <w:r>
        <w:rPr>
          <w:b/>
          <w:spacing w:val="-4"/>
          <w:sz w:val="24"/>
        </w:rPr>
        <w:t> </w:t>
      </w:r>
      <w:r>
        <w:rPr>
          <w:b/>
          <w:sz w:val="24"/>
        </w:rPr>
        <w:t>UPON</w:t>
      </w:r>
      <w:r>
        <w:rPr>
          <w:b/>
          <w:spacing w:val="-5"/>
          <w:sz w:val="24"/>
        </w:rPr>
        <w:t> </w:t>
      </w:r>
      <w:r>
        <w:rPr>
          <w:b/>
          <w:sz w:val="24"/>
        </w:rPr>
        <w:t>the</w:t>
      </w:r>
      <w:r>
        <w:rPr>
          <w:b/>
          <w:spacing w:val="-5"/>
          <w:sz w:val="24"/>
        </w:rPr>
        <w:t> </w:t>
      </w:r>
      <w:r>
        <w:rPr>
          <w:b/>
          <w:sz w:val="24"/>
        </w:rPr>
        <w:t>developed</w:t>
      </w:r>
      <w:r>
        <w:rPr>
          <w:b/>
          <w:spacing w:val="-4"/>
          <w:sz w:val="24"/>
        </w:rPr>
        <w:t> </w:t>
      </w:r>
      <w:r>
        <w:rPr>
          <w:b/>
          <w:sz w:val="24"/>
        </w:rPr>
        <w:t>countries</w:t>
      </w:r>
      <w:r>
        <w:rPr>
          <w:b/>
          <w:spacing w:val="-5"/>
          <w:sz w:val="24"/>
        </w:rPr>
        <w:t> </w:t>
      </w:r>
      <w:r>
        <w:rPr>
          <w:b/>
          <w:sz w:val="24"/>
        </w:rPr>
        <w:t>to</w:t>
      </w:r>
      <w:r>
        <w:rPr>
          <w:b/>
          <w:spacing w:val="-5"/>
          <w:sz w:val="24"/>
        </w:rPr>
        <w:t> </w:t>
      </w:r>
      <w:r>
        <w:rPr>
          <w:b/>
          <w:sz w:val="24"/>
        </w:rPr>
        <w:t>facilitate</w:t>
      </w:r>
      <w:r>
        <w:rPr>
          <w:b/>
          <w:spacing w:val="-5"/>
          <w:sz w:val="24"/>
        </w:rPr>
        <w:t> </w:t>
      </w:r>
      <w:r>
        <w:rPr>
          <w:b/>
          <w:sz w:val="24"/>
        </w:rPr>
        <w:t>the</w:t>
      </w:r>
      <w:r>
        <w:rPr>
          <w:b/>
          <w:spacing w:val="-5"/>
          <w:sz w:val="24"/>
        </w:rPr>
        <w:t> </w:t>
      </w:r>
      <w:r>
        <w:rPr>
          <w:b/>
          <w:sz w:val="24"/>
        </w:rPr>
        <w:t>early</w:t>
      </w:r>
      <w:r>
        <w:rPr>
          <w:b/>
          <w:spacing w:val="-5"/>
          <w:sz w:val="24"/>
        </w:rPr>
        <w:t> </w:t>
      </w:r>
      <w:r>
        <w:rPr>
          <w:b/>
          <w:sz w:val="24"/>
        </w:rPr>
        <w:t>conclusion</w:t>
      </w:r>
      <w:r>
        <w:rPr>
          <w:b/>
          <w:spacing w:val="-4"/>
          <w:sz w:val="24"/>
        </w:rPr>
        <w:t> </w:t>
      </w:r>
      <w:r>
        <w:rPr>
          <w:b/>
          <w:sz w:val="24"/>
        </w:rPr>
        <w:t>of</w:t>
      </w:r>
      <w:r>
        <w:rPr>
          <w:b/>
          <w:spacing w:val="-5"/>
          <w:sz w:val="24"/>
        </w:rPr>
        <w:t> </w:t>
      </w:r>
      <w:r>
        <w:rPr>
          <w:b/>
          <w:sz w:val="24"/>
        </w:rPr>
        <w:t>a Code of Conduct on the transfer of technology as a contribution to the establishment of the New International Economic Order;</w:t>
      </w:r>
    </w:p>
    <w:p>
      <w:pPr>
        <w:spacing w:after="0" w:line="360" w:lineRule="auto"/>
        <w:jc w:val="left"/>
        <w:rPr>
          <w:sz w:val="24"/>
        </w:rPr>
        <w:sectPr>
          <w:type w:val="continuous"/>
          <w:pgSz w:w="12240" w:h="15840"/>
          <w:pgMar w:top="560" w:bottom="280" w:left="1700" w:right="1700"/>
        </w:sectPr>
      </w:pPr>
    </w:p>
    <w:p>
      <w:pPr>
        <w:pStyle w:val="ListParagraph"/>
        <w:numPr>
          <w:ilvl w:val="0"/>
          <w:numId w:val="1"/>
        </w:numPr>
        <w:tabs>
          <w:tab w:pos="819" w:val="left" w:leader="none"/>
          <w:tab w:pos="820" w:val="left" w:leader="none"/>
        </w:tabs>
        <w:spacing w:line="360" w:lineRule="auto" w:before="65" w:after="0"/>
        <w:ind w:left="820" w:right="529" w:hanging="720"/>
        <w:jc w:val="left"/>
        <w:rPr>
          <w:b/>
          <w:sz w:val="24"/>
        </w:rPr>
      </w:pPr>
      <w:r>
        <w:rPr>
          <w:b/>
          <w:sz w:val="24"/>
        </w:rPr>
        <w:t>REAFFIRMS</w:t>
      </w:r>
      <w:r>
        <w:rPr>
          <w:b/>
          <w:spacing w:val="-6"/>
          <w:sz w:val="24"/>
        </w:rPr>
        <w:t> </w:t>
      </w:r>
      <w:r>
        <w:rPr>
          <w:b/>
          <w:sz w:val="24"/>
        </w:rPr>
        <w:t>its</w:t>
      </w:r>
      <w:r>
        <w:rPr>
          <w:b/>
          <w:spacing w:val="-6"/>
          <w:sz w:val="24"/>
        </w:rPr>
        <w:t> </w:t>
      </w:r>
      <w:r>
        <w:rPr>
          <w:b/>
          <w:sz w:val="24"/>
        </w:rPr>
        <w:t>firm</w:t>
      </w:r>
      <w:r>
        <w:rPr>
          <w:b/>
          <w:spacing w:val="-6"/>
          <w:sz w:val="24"/>
        </w:rPr>
        <w:t> </w:t>
      </w:r>
      <w:r>
        <w:rPr>
          <w:b/>
          <w:sz w:val="24"/>
        </w:rPr>
        <w:t>commitment</w:t>
      </w:r>
      <w:r>
        <w:rPr>
          <w:b/>
          <w:spacing w:val="-5"/>
          <w:sz w:val="24"/>
        </w:rPr>
        <w:t> </w:t>
      </w:r>
      <w:r>
        <w:rPr>
          <w:b/>
          <w:sz w:val="24"/>
        </w:rPr>
        <w:t>to</w:t>
      </w:r>
      <w:r>
        <w:rPr>
          <w:b/>
          <w:spacing w:val="-6"/>
          <w:sz w:val="24"/>
        </w:rPr>
        <w:t> </w:t>
      </w:r>
      <w:r>
        <w:rPr>
          <w:b/>
          <w:sz w:val="24"/>
        </w:rPr>
        <w:t>continue</w:t>
      </w:r>
      <w:r>
        <w:rPr>
          <w:b/>
          <w:spacing w:val="-6"/>
          <w:sz w:val="24"/>
        </w:rPr>
        <w:t> </w:t>
      </w:r>
      <w:r>
        <w:rPr>
          <w:b/>
          <w:sz w:val="24"/>
        </w:rPr>
        <w:t>to</w:t>
      </w:r>
      <w:r>
        <w:rPr>
          <w:b/>
          <w:spacing w:val="-6"/>
          <w:sz w:val="24"/>
        </w:rPr>
        <w:t> </w:t>
      </w:r>
      <w:r>
        <w:rPr>
          <w:b/>
          <w:sz w:val="24"/>
        </w:rPr>
        <w:t>pursue</w:t>
      </w:r>
      <w:r>
        <w:rPr>
          <w:b/>
          <w:spacing w:val="-6"/>
          <w:sz w:val="24"/>
        </w:rPr>
        <w:t> </w:t>
      </w:r>
      <w:r>
        <w:rPr>
          <w:b/>
          <w:sz w:val="24"/>
        </w:rPr>
        <w:t>the</w:t>
      </w:r>
      <w:r>
        <w:rPr>
          <w:b/>
          <w:spacing w:val="-6"/>
          <w:sz w:val="24"/>
        </w:rPr>
        <w:t> </w:t>
      </w:r>
      <w:r>
        <w:rPr>
          <w:b/>
          <w:sz w:val="24"/>
        </w:rPr>
        <w:t>negotiations aimed at achieving an equitable international Code of Conduct on the Transfer of Technology;</w:t>
      </w:r>
    </w:p>
    <w:p>
      <w:pPr>
        <w:pStyle w:val="BodyText"/>
        <w:rPr>
          <w:sz w:val="36"/>
        </w:rPr>
      </w:pPr>
    </w:p>
    <w:p>
      <w:pPr>
        <w:pStyle w:val="ListParagraph"/>
        <w:numPr>
          <w:ilvl w:val="0"/>
          <w:numId w:val="1"/>
        </w:numPr>
        <w:tabs>
          <w:tab w:pos="819" w:val="left" w:leader="none"/>
          <w:tab w:pos="820" w:val="left" w:leader="none"/>
        </w:tabs>
        <w:spacing w:line="360" w:lineRule="auto" w:before="0" w:after="0"/>
        <w:ind w:left="820" w:right="376" w:hanging="720"/>
        <w:jc w:val="left"/>
        <w:rPr>
          <w:b/>
          <w:sz w:val="24"/>
        </w:rPr>
      </w:pPr>
      <w:r>
        <w:rPr>
          <w:b/>
          <w:sz w:val="24"/>
        </w:rPr>
        <w:t>URGES all Member States of the OAU to enact or update national legislations</w:t>
      </w:r>
      <w:r>
        <w:rPr>
          <w:b/>
          <w:spacing w:val="-6"/>
          <w:sz w:val="24"/>
        </w:rPr>
        <w:t> </w:t>
      </w:r>
      <w:r>
        <w:rPr>
          <w:b/>
          <w:sz w:val="24"/>
        </w:rPr>
        <w:t>as</w:t>
      </w:r>
      <w:r>
        <w:rPr>
          <w:b/>
          <w:spacing w:val="-6"/>
          <w:sz w:val="24"/>
        </w:rPr>
        <w:t> </w:t>
      </w:r>
      <w:r>
        <w:rPr>
          <w:b/>
          <w:sz w:val="24"/>
        </w:rPr>
        <w:t>well</w:t>
      </w:r>
      <w:r>
        <w:rPr>
          <w:b/>
          <w:spacing w:val="-6"/>
          <w:sz w:val="24"/>
        </w:rPr>
        <w:t> </w:t>
      </w:r>
      <w:r>
        <w:rPr>
          <w:b/>
          <w:sz w:val="24"/>
        </w:rPr>
        <w:t>as</w:t>
      </w:r>
      <w:r>
        <w:rPr>
          <w:b/>
          <w:spacing w:val="-6"/>
          <w:sz w:val="24"/>
        </w:rPr>
        <w:t> </w:t>
      </w:r>
      <w:r>
        <w:rPr>
          <w:b/>
          <w:sz w:val="24"/>
        </w:rPr>
        <w:t>establishing</w:t>
      </w:r>
      <w:r>
        <w:rPr>
          <w:b/>
          <w:spacing w:val="-8"/>
          <w:sz w:val="24"/>
        </w:rPr>
        <w:t> </w:t>
      </w:r>
      <w:r>
        <w:rPr>
          <w:b/>
          <w:sz w:val="24"/>
        </w:rPr>
        <w:t>institutions</w:t>
      </w:r>
      <w:r>
        <w:rPr>
          <w:b/>
          <w:spacing w:val="-8"/>
          <w:sz w:val="24"/>
        </w:rPr>
        <w:t> </w:t>
      </w:r>
      <w:r>
        <w:rPr>
          <w:b/>
          <w:sz w:val="24"/>
        </w:rPr>
        <w:t>to</w:t>
      </w:r>
      <w:r>
        <w:rPr>
          <w:b/>
          <w:spacing w:val="-8"/>
          <w:sz w:val="24"/>
        </w:rPr>
        <w:t> </w:t>
      </w:r>
      <w:r>
        <w:rPr>
          <w:b/>
          <w:sz w:val="24"/>
        </w:rPr>
        <w:t>evaluate,</w:t>
      </w:r>
      <w:r>
        <w:rPr>
          <w:b/>
          <w:spacing w:val="-5"/>
          <w:sz w:val="24"/>
        </w:rPr>
        <w:t> </w:t>
      </w:r>
      <w:r>
        <w:rPr>
          <w:b/>
          <w:sz w:val="24"/>
        </w:rPr>
        <w:t>register,</w:t>
      </w:r>
      <w:r>
        <w:rPr>
          <w:b/>
          <w:spacing w:val="-5"/>
          <w:sz w:val="24"/>
        </w:rPr>
        <w:t> </w:t>
      </w:r>
      <w:r>
        <w:rPr>
          <w:b/>
          <w:sz w:val="24"/>
        </w:rPr>
        <w:t>monitor and appraise technology transactions;</w:t>
      </w:r>
    </w:p>
    <w:p>
      <w:pPr>
        <w:pStyle w:val="BodyText"/>
        <w:rPr>
          <w:sz w:val="36"/>
        </w:rPr>
      </w:pPr>
    </w:p>
    <w:p>
      <w:pPr>
        <w:pStyle w:val="ListParagraph"/>
        <w:numPr>
          <w:ilvl w:val="0"/>
          <w:numId w:val="1"/>
        </w:numPr>
        <w:tabs>
          <w:tab w:pos="819" w:val="left" w:leader="none"/>
          <w:tab w:pos="820" w:val="left" w:leader="none"/>
        </w:tabs>
        <w:spacing w:line="360" w:lineRule="auto" w:before="1" w:after="0"/>
        <w:ind w:left="820" w:right="139" w:hanging="720"/>
        <w:jc w:val="left"/>
        <w:rPr>
          <w:b/>
          <w:sz w:val="24"/>
        </w:rPr>
      </w:pPr>
      <w:r>
        <w:rPr>
          <w:b/>
          <w:sz w:val="24"/>
        </w:rPr>
        <w:t>FURTHER URGES OAU Member States to work relentlessly with the other members of the Group of 77 in all the negotiating force on the Code and more particularly during the Thirty-sixth Session of the United Nations General Assembly, to ensure that necessary action be taken so as to enable them</w:t>
      </w:r>
      <w:r>
        <w:rPr>
          <w:b/>
          <w:spacing w:val="-5"/>
          <w:sz w:val="24"/>
        </w:rPr>
        <w:t> </w:t>
      </w:r>
      <w:r>
        <w:rPr>
          <w:b/>
          <w:sz w:val="24"/>
        </w:rPr>
        <w:t>to</w:t>
      </w:r>
      <w:r>
        <w:rPr>
          <w:b/>
          <w:spacing w:val="-5"/>
          <w:sz w:val="24"/>
        </w:rPr>
        <w:t> </w:t>
      </w:r>
      <w:r>
        <w:rPr>
          <w:b/>
          <w:sz w:val="24"/>
        </w:rPr>
        <w:t>obtain</w:t>
      </w:r>
      <w:r>
        <w:rPr>
          <w:b/>
          <w:spacing w:val="-4"/>
          <w:sz w:val="24"/>
        </w:rPr>
        <w:t> </w:t>
      </w:r>
      <w:r>
        <w:rPr>
          <w:b/>
          <w:sz w:val="24"/>
        </w:rPr>
        <w:t>more</w:t>
      </w:r>
      <w:r>
        <w:rPr>
          <w:b/>
          <w:spacing w:val="-5"/>
          <w:sz w:val="24"/>
        </w:rPr>
        <w:t> </w:t>
      </w:r>
      <w:r>
        <w:rPr>
          <w:b/>
          <w:sz w:val="24"/>
        </w:rPr>
        <w:t>acceptable</w:t>
      </w:r>
      <w:r>
        <w:rPr>
          <w:b/>
          <w:spacing w:val="-5"/>
          <w:sz w:val="24"/>
        </w:rPr>
        <w:t> </w:t>
      </w:r>
      <w:r>
        <w:rPr>
          <w:b/>
          <w:sz w:val="24"/>
        </w:rPr>
        <w:t>terms</w:t>
      </w:r>
      <w:r>
        <w:rPr>
          <w:b/>
          <w:spacing w:val="-5"/>
          <w:sz w:val="24"/>
        </w:rPr>
        <w:t> </w:t>
      </w:r>
      <w:r>
        <w:rPr>
          <w:b/>
          <w:sz w:val="24"/>
        </w:rPr>
        <w:t>and</w:t>
      </w:r>
      <w:r>
        <w:rPr>
          <w:b/>
          <w:spacing w:val="-4"/>
          <w:sz w:val="24"/>
        </w:rPr>
        <w:t> </w:t>
      </w:r>
      <w:r>
        <w:rPr>
          <w:b/>
          <w:sz w:val="24"/>
        </w:rPr>
        <w:t>conditions</w:t>
      </w:r>
      <w:r>
        <w:rPr>
          <w:b/>
          <w:spacing w:val="-5"/>
          <w:sz w:val="24"/>
        </w:rPr>
        <w:t> </w:t>
      </w:r>
      <w:r>
        <w:rPr>
          <w:b/>
          <w:sz w:val="24"/>
        </w:rPr>
        <w:t>on</w:t>
      </w:r>
      <w:r>
        <w:rPr>
          <w:b/>
          <w:spacing w:val="-4"/>
          <w:sz w:val="24"/>
        </w:rPr>
        <w:t> </w:t>
      </w:r>
      <w:r>
        <w:rPr>
          <w:b/>
          <w:sz w:val="24"/>
        </w:rPr>
        <w:t>all</w:t>
      </w:r>
      <w:r>
        <w:rPr>
          <w:b/>
          <w:spacing w:val="-5"/>
          <w:sz w:val="24"/>
        </w:rPr>
        <w:t> </w:t>
      </w:r>
      <w:r>
        <w:rPr>
          <w:b/>
          <w:sz w:val="24"/>
        </w:rPr>
        <w:t>aspects</w:t>
      </w:r>
      <w:r>
        <w:rPr>
          <w:b/>
          <w:spacing w:val="-5"/>
          <w:sz w:val="24"/>
        </w:rPr>
        <w:t> </w:t>
      </w:r>
      <w:r>
        <w:rPr>
          <w:b/>
          <w:sz w:val="24"/>
        </w:rPr>
        <w:t>related</w:t>
      </w:r>
      <w:r>
        <w:rPr>
          <w:b/>
          <w:spacing w:val="-4"/>
          <w:sz w:val="24"/>
        </w:rPr>
        <w:t> </w:t>
      </w:r>
      <w:r>
        <w:rPr>
          <w:b/>
          <w:sz w:val="24"/>
        </w:rPr>
        <w:t>to the Transfer of Technology;</w:t>
      </w:r>
    </w:p>
    <w:p>
      <w:pPr>
        <w:pStyle w:val="BodyText"/>
        <w:spacing w:before="1"/>
        <w:rPr>
          <w:sz w:val="36"/>
        </w:rPr>
      </w:pPr>
    </w:p>
    <w:p>
      <w:pPr>
        <w:pStyle w:val="ListParagraph"/>
        <w:numPr>
          <w:ilvl w:val="0"/>
          <w:numId w:val="1"/>
        </w:numPr>
        <w:tabs>
          <w:tab w:pos="819" w:val="left" w:leader="none"/>
          <w:tab w:pos="820" w:val="left" w:leader="none"/>
        </w:tabs>
        <w:spacing w:line="360" w:lineRule="auto" w:before="0" w:after="0"/>
        <w:ind w:left="820" w:right="324" w:hanging="720"/>
        <w:jc w:val="left"/>
        <w:rPr>
          <w:b/>
          <w:sz w:val="24"/>
        </w:rPr>
      </w:pPr>
      <w:r>
        <w:rPr>
          <w:b/>
          <w:sz w:val="24"/>
        </w:rPr>
        <w:t>REQUESTS the Secretary-General to take all necessary measures to continue providing technical support to the African Group during the forthcoming</w:t>
      </w:r>
      <w:r>
        <w:rPr>
          <w:b/>
          <w:spacing w:val="-5"/>
          <w:sz w:val="24"/>
        </w:rPr>
        <w:t> </w:t>
      </w:r>
      <w:r>
        <w:rPr>
          <w:b/>
          <w:sz w:val="24"/>
        </w:rPr>
        <w:t>negotiations</w:t>
      </w:r>
      <w:r>
        <w:rPr>
          <w:b/>
          <w:spacing w:val="-5"/>
          <w:sz w:val="24"/>
        </w:rPr>
        <w:t> </w:t>
      </w:r>
      <w:r>
        <w:rPr>
          <w:b/>
          <w:sz w:val="24"/>
        </w:rPr>
        <w:t>and</w:t>
      </w:r>
      <w:r>
        <w:rPr>
          <w:b/>
          <w:spacing w:val="-5"/>
          <w:sz w:val="24"/>
        </w:rPr>
        <w:t> </w:t>
      </w:r>
      <w:r>
        <w:rPr>
          <w:b/>
          <w:sz w:val="24"/>
        </w:rPr>
        <w:t>submit</w:t>
      </w:r>
      <w:r>
        <w:rPr>
          <w:b/>
          <w:spacing w:val="-5"/>
          <w:sz w:val="24"/>
        </w:rPr>
        <w:t> </w:t>
      </w:r>
      <w:r>
        <w:rPr>
          <w:b/>
          <w:sz w:val="24"/>
        </w:rPr>
        <w:t>a</w:t>
      </w:r>
      <w:r>
        <w:rPr>
          <w:b/>
          <w:spacing w:val="-5"/>
          <w:sz w:val="24"/>
        </w:rPr>
        <w:t> </w:t>
      </w:r>
      <w:r>
        <w:rPr>
          <w:b/>
          <w:sz w:val="24"/>
        </w:rPr>
        <w:t>report</w:t>
      </w:r>
      <w:r>
        <w:rPr>
          <w:b/>
          <w:spacing w:val="-5"/>
          <w:sz w:val="24"/>
        </w:rPr>
        <w:t> </w:t>
      </w:r>
      <w:r>
        <w:rPr>
          <w:b/>
          <w:sz w:val="24"/>
        </w:rPr>
        <w:t>to</w:t>
      </w:r>
      <w:r>
        <w:rPr>
          <w:b/>
          <w:spacing w:val="-5"/>
          <w:sz w:val="24"/>
        </w:rPr>
        <w:t> </w:t>
      </w:r>
      <w:r>
        <w:rPr>
          <w:b/>
          <w:sz w:val="24"/>
        </w:rPr>
        <w:t>the</w:t>
      </w:r>
      <w:r>
        <w:rPr>
          <w:b/>
          <w:spacing w:val="-5"/>
          <w:sz w:val="24"/>
        </w:rPr>
        <w:t> </w:t>
      </w:r>
      <w:r>
        <w:rPr>
          <w:b/>
          <w:sz w:val="24"/>
        </w:rPr>
        <w:t>Thirty-ninth</w:t>
      </w:r>
      <w:r>
        <w:rPr>
          <w:b/>
          <w:spacing w:val="-7"/>
          <w:sz w:val="24"/>
        </w:rPr>
        <w:t> </w:t>
      </w:r>
      <w:r>
        <w:rPr>
          <w:b/>
          <w:sz w:val="24"/>
        </w:rPr>
        <w:t>Ordinary Session of the Council of Ministers.</w:t>
      </w:r>
    </w:p>
    <w:sectPr>
      <w:pgSz w:w="12240" w:h="15840"/>
      <w:pgMar w:top="5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22" w:hanging="720"/>
      </w:pPr>
      <w:rPr>
        <w:rFonts w:hint="default"/>
        <w:lang w:val="en-US" w:eastAsia="en-US" w:bidi="ar-SA"/>
      </w:rPr>
    </w:lvl>
    <w:lvl w:ilvl="2">
      <w:start w:val="0"/>
      <w:numFmt w:val="bullet"/>
      <w:lvlText w:val="•"/>
      <w:lvlJc w:val="left"/>
      <w:pPr>
        <w:ind w:left="2424" w:hanging="720"/>
      </w:pPr>
      <w:rPr>
        <w:rFonts w:hint="default"/>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right="13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2023-04-11T21:36:35Z</dcterms:created>
  <dcterms:modified xsi:type="dcterms:W3CDTF">2023-04-11T21:36:35Z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