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275"/>
        <w:jc w:val="right"/>
      </w:pPr>
      <w:r>
        <w:rPr>
          <w:spacing w:val="-2"/>
        </w:rPr>
        <w:t>CM/Res.1219(L)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369" w:lineRule="auto"/>
        <w:ind w:left="3113" w:right="826" w:hanging="1445"/>
      </w:pPr>
      <w:r>
        <w:rPr>
          <w:u w:val="single"/>
        </w:rPr>
        <w:t>RESOLUTION ON NEGOTIATIONS FOR A FOURTH</w:t>
      </w:r>
      <w:r>
        <w:rPr/>
        <w:t> </w:t>
      </w:r>
      <w:r>
        <w:rPr>
          <w:u w:val="single"/>
        </w:rPr>
        <w:t>ACP/EEC CONVENTION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4" w:lineRule="auto" w:before="96"/>
        <w:ind w:left="511" w:right="826"/>
      </w:pPr>
      <w:r>
        <w:rPr/>
        <w:t>The Council of Ministers of the Organization of African Unity, meeting in its Fiftieth Ordinary Session in Addis Ababa, Ethiopia, from 17 to 22 July, 1989,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2" w:lineRule="auto"/>
        <w:ind w:left="512" w:right="613"/>
      </w:pPr>
      <w:r>
        <w:rPr>
          <w:u w:val="single"/>
        </w:rPr>
        <w:t>Having considered</w:t>
      </w:r>
      <w:r>
        <w:rPr/>
        <w:t> the report of the Seventeenth Session of the Permanent</w:t>
      </w:r>
      <w:r>
        <w:rPr>
          <w:spacing w:val="40"/>
        </w:rPr>
        <w:t> </w:t>
      </w:r>
      <w:r>
        <w:rPr/>
        <w:t>Steering Committee, particularly the item relating to the current negotiations for</w:t>
      </w:r>
      <w:r>
        <w:rPr>
          <w:spacing w:val="80"/>
        </w:rPr>
        <w:t> </w:t>
      </w:r>
      <w:r>
        <w:rPr/>
        <w:t>a fourth ACP/EEC Convention,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74" w:lineRule="auto"/>
        <w:ind w:left="512" w:right="826" w:hanging="1"/>
      </w:pPr>
      <w:r>
        <w:rPr>
          <w:u w:val="single"/>
        </w:rPr>
        <w:t>Recalling</w:t>
      </w:r>
      <w:r>
        <w:rPr/>
        <w:t> its resolution CM/Res.1194 (XLIX) adopted at its Forty-ninth Ordinary Session,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512" w:right="826" w:hanging="1"/>
      </w:pPr>
      <w:r>
        <w:rPr>
          <w:u w:val="single"/>
        </w:rPr>
        <w:t>Conscious</w:t>
      </w:r>
      <w:r>
        <w:rPr/>
        <w:t> of the fact that Lome Convention constitutes a very important framework for North-South Co-operation, given its special and differential treatment for ACP states,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511" w:right="826"/>
      </w:pPr>
      <w:r>
        <w:rPr>
          <w:u w:val="single"/>
        </w:rPr>
        <w:t>Concerned</w:t>
      </w:r>
      <w:r>
        <w:rPr/>
        <w:t> about the continued deterioration of the economic situation in ACP countries and the fact that the structure ACP/EEC co-operation particularly with regard to commercial co-operation has not meaningfully changed since Lome I,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/>
        <w:ind w:left="512" w:right="613" w:hanging="1"/>
      </w:pPr>
      <w:r>
        <w:rPr>
          <w:u w:val="single"/>
        </w:rPr>
        <w:t>Noting</w:t>
      </w:r>
      <w:r>
        <w:rPr/>
        <w:t> that EEC total imports from ACP states have continued to decline and</w:t>
      </w:r>
      <w:r>
        <w:rPr>
          <w:spacing w:val="40"/>
        </w:rPr>
        <w:t> </w:t>
      </w:r>
      <w:r>
        <w:rPr/>
        <w:t>that commodity prices have been falling in real terms while the quantum of EDF resources has remained too low to have a meaningful impact on ACP countries,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 w:before="1"/>
        <w:ind w:left="511" w:right="662"/>
      </w:pPr>
      <w:r>
        <w:rPr>
          <w:u w:val="single"/>
        </w:rPr>
        <w:t>Concerned</w:t>
      </w:r>
      <w:r>
        <w:rPr/>
        <w:t> about the likely effects on the EEC/ACP co-operation arrangements in the face of the proposed 1992 European Single Market,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512" w:right="613" w:hanging="1"/>
      </w:pPr>
      <w:r>
        <w:rPr>
          <w:u w:val="single"/>
        </w:rPr>
        <w:t>Convinced</w:t>
      </w:r>
      <w:r>
        <w:rPr/>
        <w:t> that the present negotiations for a Fourth ACP/EEC Convention are aiming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preserving,</w:t>
      </w:r>
      <w:r>
        <w:rPr>
          <w:spacing w:val="10"/>
        </w:rPr>
        <w:t> </w:t>
      </w:r>
      <w:r>
        <w:rPr/>
        <w:t>consolidating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expanding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 </w:t>
      </w:r>
      <w:r>
        <w:rPr/>
        <w:t>efficient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effective</w:t>
      </w:r>
      <w:r>
        <w:rPr>
          <w:spacing w:val="9"/>
        </w:rPr>
        <w:t> </w:t>
      </w:r>
      <w:r>
        <w:rPr>
          <w:spacing w:val="-5"/>
        </w:rPr>
        <w:t>co-</w:t>
      </w:r>
    </w:p>
    <w:p>
      <w:pPr>
        <w:spacing w:after="0" w:line="369" w:lineRule="auto"/>
        <w:sectPr>
          <w:type w:val="continuous"/>
          <w:pgSz w:w="12240" w:h="15840"/>
          <w:pgMar w:top="1400" w:bottom="280" w:left="1720" w:right="1720"/>
        </w:sectPr>
      </w:pPr>
    </w:p>
    <w:p>
      <w:pPr>
        <w:pStyle w:val="BodyText"/>
        <w:spacing w:line="369" w:lineRule="auto" w:before="82"/>
        <w:ind w:left="512" w:right="826"/>
      </w:pPr>
      <w:r>
        <w:rPr/>
        <w:t>operation between the EEC and the ACP for the mutual benefit of our various </w:t>
      </w:r>
      <w:r>
        <w:rPr>
          <w:spacing w:val="-2"/>
        </w:rPr>
        <w:t>countries: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82" w:hanging="677"/>
        <w:jc w:val="left"/>
        <w:rPr>
          <w:b/>
          <w:sz w:val="22"/>
        </w:rPr>
      </w:pPr>
      <w:r>
        <w:rPr>
          <w:b/>
          <w:sz w:val="22"/>
        </w:rPr>
        <w:t>REQUESTS the ACP negotiators to ensure the improvement on previous conventions be not confined to broad generalities concerning objectives and scope of co-operation, but cover substantially areas that are of major concern for ACP countries;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693" w:hanging="677"/>
        <w:jc w:val="left"/>
        <w:rPr>
          <w:b/>
          <w:sz w:val="22"/>
        </w:rPr>
      </w:pPr>
      <w:r>
        <w:rPr>
          <w:b/>
          <w:sz w:val="22"/>
        </w:rPr>
        <w:t>REQUESTS FURTHER that ACP negotiators ensure that the STABEX system under the Fourth ACP/EEC Convention compensates for losses incurred on foreign exchange earnings from export commodities of the ACP states;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785" w:hanging="677"/>
        <w:jc w:val="left"/>
        <w:rPr>
          <w:b/>
          <w:sz w:val="22"/>
        </w:rPr>
      </w:pPr>
      <w:r>
        <w:rPr>
          <w:b/>
          <w:sz w:val="22"/>
        </w:rPr>
        <w:t>REITERATES the fact that a long-term strategy aimed at improving production, marketing and distribution of commodities as well as local processing remains a key element in solving the present range of problems faced by ACP countries and in this regard requests the negotiators to ensure that Lome IV includes a substantial technical and financial assistance from EEC to ACP states;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746" w:hanging="677"/>
        <w:jc w:val="both"/>
        <w:rPr>
          <w:b/>
          <w:sz w:val="22"/>
        </w:rPr>
      </w:pPr>
      <w:r>
        <w:rPr>
          <w:b/>
          <w:sz w:val="22"/>
        </w:rPr>
        <w:t>RECOMMENDS “the Memorandum of Africa’s commodities problems and recommended measures for the revitalization and diversification of the section” to serve as guidelines on negotiations on commodities;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32" w:hanging="677"/>
        <w:jc w:val="left"/>
        <w:rPr>
          <w:b/>
          <w:sz w:val="22"/>
        </w:rPr>
      </w:pPr>
      <w:r>
        <w:rPr>
          <w:b/>
          <w:sz w:val="22"/>
        </w:rPr>
        <w:t>CALLS UPON the ACP negotiators to ensure that EEC countries commit themselves to halting and reversing protectionism as well as eliminating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escalation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tariff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non-tariff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barriers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affecting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exports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of ACP states;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648" w:hanging="677"/>
        <w:jc w:val="left"/>
        <w:rPr>
          <w:b/>
          <w:sz w:val="22"/>
        </w:rPr>
      </w:pPr>
      <w:r>
        <w:rPr>
          <w:b/>
          <w:sz w:val="22"/>
        </w:rPr>
        <w:t>FURTHER CALLS UPON the negotiators to ensure relaxation of the rules of origin which in their present form discourage processing of ACP raw materials destined for the EEC market;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606" w:hanging="677"/>
        <w:jc w:val="left"/>
        <w:rPr>
          <w:b/>
          <w:sz w:val="22"/>
        </w:rPr>
      </w:pPr>
      <w:r>
        <w:rPr>
          <w:b/>
          <w:sz w:val="22"/>
        </w:rPr>
        <w:t>REAFFIRMS its previous decisions and resolutions relating to the issues under negotiations seen as regional co-operation, human rights, situation</w:t>
      </w:r>
    </w:p>
    <w:p>
      <w:pPr>
        <w:spacing w:after="0" w:line="369" w:lineRule="auto"/>
        <w:jc w:val="left"/>
        <w:rPr>
          <w:sz w:val="22"/>
        </w:rPr>
        <w:sectPr>
          <w:pgSz w:w="12240" w:h="15840"/>
          <w:pgMar w:top="620" w:bottom="280" w:left="1720" w:right="1720"/>
        </w:sectPr>
      </w:pPr>
    </w:p>
    <w:p>
      <w:pPr>
        <w:pStyle w:val="BodyText"/>
        <w:spacing w:line="369" w:lineRule="auto" w:before="82"/>
        <w:ind w:left="1188" w:right="444"/>
      </w:pPr>
      <w:r>
        <w:rPr/>
        <w:t>in Southern Africa, external indebtedness and dumping of toxic wastes which should continue to serve as African position in the on-negotiations;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676" w:hanging="677"/>
        <w:jc w:val="left"/>
        <w:rPr>
          <w:b/>
          <w:sz w:val="22"/>
        </w:rPr>
      </w:pPr>
      <w:r>
        <w:rPr>
          <w:b/>
          <w:sz w:val="22"/>
        </w:rPr>
        <w:t>ENDORSES the African Alternative Framework on Structural Adjustment Programmes adopted by the African Ministers of Economic Planning and Finance as constituting the guidelines on negotiations on Structural Adjustment Programmes;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68" w:hanging="677"/>
        <w:jc w:val="left"/>
        <w:rPr>
          <w:b/>
          <w:sz w:val="22"/>
        </w:rPr>
      </w:pPr>
      <w:r>
        <w:rPr>
          <w:b/>
          <w:sz w:val="22"/>
        </w:rPr>
        <w:t>URGES the EEC countries to look more positively on a possible review of the perennial problem of EDF allocations as well as the improvement of both the quality and quantity of aid and URGES FURTHER the EEC to create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Lome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facility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assist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processing of African mineral and agricultural raw materials into tradable and exportable products and further recommends the establishment of mechanisms for mobilizing technical and scientific know-how to achieve this purpose;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45" w:hanging="677"/>
        <w:jc w:val="left"/>
        <w:rPr>
          <w:b/>
          <w:sz w:val="22"/>
        </w:rPr>
      </w:pPr>
      <w:r>
        <w:rPr>
          <w:b/>
          <w:sz w:val="22"/>
        </w:rPr>
        <w:t>URGES FURTHER the EEC countries to recognize that there can be no meaningful ACP/EEC trade arrangements without the protection of ACP Preferential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margins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guaranteed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REQUESTS</w:t>
      </w:r>
      <w:r>
        <w:rPr>
          <w:b/>
          <w:sz w:val="22"/>
        </w:rPr>
        <w:t> the European community countries to be more flexible during the negotiations in the area of trade barriers;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16" w:hanging="677"/>
        <w:jc w:val="left"/>
        <w:rPr>
          <w:b/>
          <w:sz w:val="22"/>
        </w:rPr>
      </w:pPr>
      <w:r>
        <w:rPr>
          <w:b/>
          <w:sz w:val="22"/>
        </w:rPr>
        <w:t>CALLS UPON the Secretary-General of the OAU and the Executive Secretary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ECA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undertake,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support of the relevant regional and international organizations, particularly ADB and UNDP, an exhaustive study on the implications of the 1992 European Single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Market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Economics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countries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submit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to the Permanent Steering Committee of the OAU, proposals on short and long-term measures to be taken within the framework of the co-operation between Africa and EEC;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1" w:after="0"/>
        <w:ind w:left="1188" w:right="592" w:hanging="677"/>
        <w:jc w:val="left"/>
        <w:rPr>
          <w:b/>
          <w:sz w:val="22"/>
        </w:rPr>
      </w:pPr>
      <w:r>
        <w:rPr>
          <w:b/>
          <w:sz w:val="22"/>
        </w:rPr>
        <w:t>FURTHER CALLS UPON the Permanent Steering Committee to submit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 report thereon to the Fifty-first Ordinary Session of the Council of </w:t>
      </w:r>
      <w:r>
        <w:rPr>
          <w:b/>
          <w:spacing w:val="-2"/>
          <w:sz w:val="22"/>
        </w:rPr>
        <w:t>Ministers.</w:t>
      </w:r>
    </w:p>
    <w:sectPr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516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FIFTIETH ORDINARY SESSION OF THE COUNCIL OF MINISTERS</dc:title>
  <dcterms:created xsi:type="dcterms:W3CDTF">2023-04-11T22:04:04Z</dcterms:created>
  <dcterms:modified xsi:type="dcterms:W3CDTF">2023-04-11T22:04:04Z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