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right="394"/>
        <w:jc w:val="right"/>
      </w:pPr>
      <w:r>
        <w:rPr/>
        <w:t>CM/Res.1479</w:t>
      </w:r>
      <w:r>
        <w:rPr>
          <w:spacing w:val="33"/>
        </w:rPr>
        <w:t> </w:t>
      </w:r>
      <w:r>
        <w:rPr>
          <w:spacing w:val="-4"/>
        </w:rPr>
        <w:t>(LIX)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spacing w:line="249" w:lineRule="auto"/>
        <w:rPr>
          <w:u w:val="none"/>
        </w:rPr>
      </w:pPr>
      <w:r>
        <w:rPr>
          <w:u w:val="single"/>
        </w:rPr>
        <w:t>RESOLUTION ON PROGRAMME BUDGET FOR THE BIENNIUM</w:t>
      </w:r>
      <w:r>
        <w:rPr>
          <w:u w:val="none"/>
        </w:rPr>
        <w:t> </w:t>
      </w:r>
      <w:r>
        <w:rPr>
          <w:u w:val="single"/>
        </w:rPr>
        <w:t>1994 – 1996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249" w:lineRule="auto" w:before="96"/>
        <w:ind w:left="415" w:right="124" w:firstLine="1065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Fifty-ninth Ordinary Session, in Addis Ababa, Ethiopia, from 31 January to 4 February, 1994,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6" w:right="122" w:firstLine="1065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Board of External Auditors on the Accounts</w:t>
      </w:r>
      <w:r>
        <w:rPr>
          <w:spacing w:val="40"/>
        </w:rPr>
        <w:t> </w:t>
      </w:r>
      <w:r>
        <w:rPr/>
        <w:t>of the General Secretariat for the 1991/1993 Financial Year and comments and observations thereon by the General Secretariat,</w:t>
      </w:r>
      <w:r>
        <w:rPr>
          <w:spacing w:val="39"/>
        </w:rPr>
        <w:t> </w:t>
      </w:r>
      <w:r>
        <w:rPr/>
        <w:t>on the</w:t>
      </w:r>
      <w:r>
        <w:rPr>
          <w:spacing w:val="39"/>
        </w:rPr>
        <w:t> </w:t>
      </w:r>
      <w:r>
        <w:rPr/>
        <w:t>one hand, and by the Advisory Committee in its Fifty-ninth Session, on the other (Doc. CM/1792 (LIX) Add.1</w:t>
      </w:r>
      <w:r>
        <w:rPr>
          <w:spacing w:val="40"/>
        </w:rPr>
        <w:t> </w:t>
      </w:r>
      <w:r>
        <w:rPr/>
        <w:t>– 12),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415" w:right="121" w:firstLine="1065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Fifty-ninth Ordinary Session of the Advisory Committee on Administrative, Budgetary and Financial Matters relating to the Proposed Programme Budget for the Biennium 1994</w:t>
      </w:r>
      <w:r>
        <w:rPr>
          <w:spacing w:val="40"/>
        </w:rPr>
        <w:t> </w:t>
      </w:r>
      <w:r>
        <w:rPr/>
        <w:t>– 1996</w:t>
      </w:r>
      <w:r>
        <w:rPr>
          <w:spacing w:val="36"/>
        </w:rPr>
        <w:t> </w:t>
      </w:r>
      <w:r>
        <w:rPr/>
        <w:t>(Doc. CM/1800</w:t>
      </w:r>
      <w:r>
        <w:rPr>
          <w:spacing w:val="36"/>
        </w:rPr>
        <w:t> </w:t>
      </w:r>
      <w:r>
        <w:rPr/>
        <w:t>(LIX),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415" w:right="113" w:firstLine="1065"/>
        <w:jc w:val="both"/>
      </w:pPr>
      <w:r>
        <w:rPr>
          <w:b/>
          <w:u w:val="single"/>
        </w:rPr>
        <w:t>Having further considered</w:t>
      </w:r>
      <w:r>
        <w:rPr>
          <w:b/>
        </w:rPr>
        <w:t> </w:t>
      </w:r>
      <w:r>
        <w:rPr/>
        <w:t>the Draft Programme Budget recommended by the Fifty-ninth Ordinary Session of the Advisory Committee for the Biennium 1994</w:t>
      </w:r>
      <w:r>
        <w:rPr>
          <w:spacing w:val="40"/>
        </w:rPr>
        <w:t> </w:t>
      </w:r>
      <w:r>
        <w:rPr/>
        <w:t>– 1996 (Doc. CM/1793 (LIX) Rev.2),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415" w:right="115" w:firstLine="1065"/>
        <w:jc w:val="both"/>
      </w:pPr>
      <w:r>
        <w:rPr>
          <w:b/>
          <w:u w:val="single"/>
        </w:rPr>
        <w:t>Bearing in mind</w:t>
      </w:r>
      <w:r>
        <w:rPr>
          <w:b/>
        </w:rPr>
        <w:t> </w:t>
      </w:r>
      <w:r>
        <w:rPr/>
        <w:t>the overall objectives and priorities of the Organization in</w:t>
      </w:r>
      <w:r>
        <w:rPr>
          <w:spacing w:val="80"/>
        </w:rPr>
        <w:t> </w:t>
      </w:r>
      <w:r>
        <w:rPr/>
        <w:t>political and socio-economic areas, with particular focus on peaceful management of political change on the continent, conflict prevention, management and resolution, socio-economic integration through the gradual implementation of the Abuja Treaty Establishing the African Economic Community,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4" w:lineRule="auto"/>
        <w:ind w:left="415" w:right="119" w:firstLine="1065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operative paragraph 6 Resolution CM/Res.1363 (LV) adopted by the Fifty-fifth Ordinary Session of Council requesting the Secretary-General to conduct a comparative</w:t>
      </w:r>
      <w:r>
        <w:rPr>
          <w:spacing w:val="39"/>
        </w:rPr>
        <w:t> </w:t>
      </w:r>
      <w:r>
        <w:rPr/>
        <w:t>study</w:t>
      </w:r>
      <w:r>
        <w:rPr>
          <w:spacing w:val="39"/>
        </w:rPr>
        <w:t> </w:t>
      </w:r>
      <w:r>
        <w:rPr/>
        <w:t>into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advantage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introducing</w:t>
      </w:r>
      <w:r>
        <w:rPr>
          <w:spacing w:val="39"/>
        </w:rPr>
        <w:t> </w:t>
      </w:r>
      <w:r>
        <w:rPr/>
        <w:t>bi-annual</w:t>
      </w:r>
      <w:r>
        <w:rPr>
          <w:spacing w:val="35"/>
        </w:rPr>
        <w:t> </w:t>
      </w:r>
      <w:r>
        <w:rPr/>
        <w:t>programme</w:t>
      </w:r>
      <w:r>
        <w:rPr>
          <w:spacing w:val="35"/>
        </w:rPr>
        <w:t> </w:t>
      </w:r>
      <w:r>
        <w:rPr/>
        <w:t>budgeting</w:t>
      </w:r>
      <w:r>
        <w:rPr>
          <w:spacing w:val="35"/>
        </w:rPr>
        <w:t> </w:t>
      </w:r>
      <w:r>
        <w:rPr/>
        <w:t>within the framework of the mid-term planning of the activities of the Organization: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05" w:val="left" w:leader="none"/>
        </w:tabs>
        <w:spacing w:line="244" w:lineRule="auto" w:before="0" w:after="0"/>
        <w:ind w:left="2004" w:right="114" w:hanging="524"/>
        <w:jc w:val="both"/>
        <w:rPr>
          <w:sz w:val="22"/>
        </w:rPr>
      </w:pPr>
      <w:r>
        <w:rPr>
          <w:b/>
          <w:sz w:val="22"/>
        </w:rPr>
        <w:t>APPROVES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Programme-Budget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Biennium</w:t>
      </w:r>
      <w:r>
        <w:rPr>
          <w:spacing w:val="40"/>
          <w:sz w:val="22"/>
        </w:rPr>
        <w:t> </w:t>
      </w:r>
      <w:r>
        <w:rPr>
          <w:sz w:val="22"/>
        </w:rPr>
        <w:t>1994/1996</w:t>
      </w:r>
      <w:r>
        <w:rPr>
          <w:spacing w:val="40"/>
          <w:sz w:val="22"/>
        </w:rPr>
        <w:t> </w:t>
      </w:r>
      <w:r>
        <w:rPr>
          <w:sz w:val="22"/>
        </w:rPr>
        <w:t>and adopts the budgets of US$ 29,500,000.00 and US$ 30,160,000.00 for the programmes of the Organization for the fiscal years 1994/1995 and</w:t>
      </w:r>
      <w:r>
        <w:rPr>
          <w:spacing w:val="80"/>
          <w:sz w:val="22"/>
        </w:rPr>
        <w:t> </w:t>
      </w:r>
      <w:r>
        <w:rPr>
          <w:sz w:val="22"/>
        </w:rPr>
        <w:t>1995/1996 respectively and </w:t>
      </w:r>
      <w:r>
        <w:rPr>
          <w:b/>
          <w:sz w:val="22"/>
        </w:rPr>
        <w:t>DIRECTS </w:t>
      </w:r>
      <w:r>
        <w:rPr>
          <w:sz w:val="22"/>
        </w:rPr>
        <w:t>that these budgets be revised in mid- term review sessions of the Advisory Committee and Council in order to respond to new developments and emerging priorities during the biennium within the approved appropriations;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05" w:val="left" w:leader="none"/>
        </w:tabs>
        <w:spacing w:line="247" w:lineRule="auto" w:before="0" w:after="0"/>
        <w:ind w:left="2004" w:right="123" w:hanging="524"/>
        <w:jc w:val="both"/>
        <w:rPr>
          <w:sz w:val="22"/>
        </w:rPr>
      </w:pPr>
      <w:r>
        <w:rPr>
          <w:b/>
          <w:sz w:val="22"/>
        </w:rPr>
        <w:t>COMMENDS </w:t>
      </w:r>
      <w:r>
        <w:rPr>
          <w:sz w:val="22"/>
        </w:rPr>
        <w:t>the Secretary-General and the Advisory Committee for the arrangements</w:t>
      </w:r>
      <w:r>
        <w:rPr>
          <w:spacing w:val="38"/>
          <w:sz w:val="22"/>
        </w:rPr>
        <w:t> </w:t>
      </w:r>
      <w:r>
        <w:rPr>
          <w:sz w:val="22"/>
        </w:rPr>
        <w:t>made</w:t>
      </w:r>
      <w:r>
        <w:rPr>
          <w:spacing w:val="38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early</w:t>
      </w:r>
      <w:r>
        <w:rPr>
          <w:spacing w:val="38"/>
          <w:sz w:val="22"/>
        </w:rPr>
        <w:t> </w:t>
      </w:r>
      <w:r>
        <w:rPr>
          <w:sz w:val="22"/>
        </w:rPr>
        <w:t>introduction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biennial</w:t>
      </w:r>
      <w:r>
        <w:rPr>
          <w:spacing w:val="36"/>
          <w:sz w:val="22"/>
        </w:rPr>
        <w:t> </w:t>
      </w:r>
      <w:r>
        <w:rPr>
          <w:sz w:val="22"/>
        </w:rPr>
        <w:t>programming in the OAU budgeting system in the process of preparing the present Draft Programme-Budget in compliance with Res.1363 (LV);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05" w:val="left" w:leader="none"/>
        </w:tabs>
        <w:spacing w:line="244" w:lineRule="auto" w:before="0" w:after="0"/>
        <w:ind w:left="2004" w:right="117" w:hanging="524"/>
        <w:jc w:val="both"/>
        <w:rPr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the recommendations contained in the report of the Board of External</w:t>
      </w:r>
      <w:r>
        <w:rPr>
          <w:spacing w:val="40"/>
          <w:sz w:val="22"/>
        </w:rPr>
        <w:t> </w:t>
      </w:r>
      <w:r>
        <w:rPr>
          <w:sz w:val="22"/>
        </w:rPr>
        <w:t>Auditors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approved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Fifty-ninth</w:t>
      </w:r>
      <w:r>
        <w:rPr>
          <w:spacing w:val="40"/>
          <w:sz w:val="22"/>
        </w:rPr>
        <w:t> </w:t>
      </w:r>
      <w:r>
        <w:rPr>
          <w:sz w:val="22"/>
        </w:rPr>
        <w:t>Ordinary</w:t>
      </w:r>
      <w:r>
        <w:rPr>
          <w:spacing w:val="40"/>
          <w:sz w:val="22"/>
        </w:rPr>
        <w:t> </w:t>
      </w:r>
      <w:r>
        <w:rPr>
          <w:sz w:val="22"/>
        </w:rPr>
        <w:t>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</w:p>
    <w:p>
      <w:pPr>
        <w:spacing w:after="0" w:line="244" w:lineRule="auto"/>
        <w:jc w:val="both"/>
        <w:rPr>
          <w:sz w:val="22"/>
        </w:rPr>
        <w:sectPr>
          <w:type w:val="continuous"/>
          <w:pgSz w:w="12240" w:h="15840"/>
          <w:pgMar w:top="1260" w:bottom="280" w:left="1720" w:right="1460"/>
        </w:sectPr>
      </w:pPr>
    </w:p>
    <w:p>
      <w:pPr>
        <w:pStyle w:val="BodyText"/>
        <w:spacing w:line="244" w:lineRule="auto" w:before="82"/>
        <w:ind w:left="2004" w:right="119"/>
        <w:jc w:val="both"/>
      </w:pPr>
      <w:r>
        <w:rPr/>
        <w:t>Advisory</w:t>
      </w:r>
      <w:r>
        <w:rPr>
          <w:spacing w:val="40"/>
        </w:rPr>
        <w:t> </w:t>
      </w:r>
      <w:r>
        <w:rPr/>
        <w:t>Committee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>
          <w:b/>
        </w:rPr>
        <w:t>FURTHER</w:t>
      </w:r>
      <w:r>
        <w:rPr>
          <w:b/>
          <w:spacing w:val="40"/>
        </w:rPr>
        <w:t> </w:t>
      </w:r>
      <w:r>
        <w:rPr>
          <w:b/>
        </w:rPr>
        <w:t>ENDORSES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recommendations of the latter as contained in its report submitted to Council under Doc. CM/1800 (LIX);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05" w:val="left" w:leader="none"/>
        </w:tabs>
        <w:spacing w:line="244" w:lineRule="auto" w:before="0" w:after="0"/>
        <w:ind w:left="2004" w:right="115" w:hanging="524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appoint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future,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recommended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Advisory Committee,</w:t>
      </w:r>
      <w:r>
        <w:rPr>
          <w:spacing w:val="40"/>
          <w:sz w:val="22"/>
        </w:rPr>
        <w:t> </w:t>
      </w:r>
      <w:r>
        <w:rPr>
          <w:sz w:val="22"/>
        </w:rPr>
        <w:t>seven</w:t>
      </w:r>
      <w:r>
        <w:rPr>
          <w:spacing w:val="40"/>
          <w:sz w:val="22"/>
        </w:rPr>
        <w:t> </w:t>
      </w:r>
      <w:r>
        <w:rPr>
          <w:sz w:val="22"/>
        </w:rPr>
        <w:t>regular</w:t>
      </w:r>
      <w:r>
        <w:rPr>
          <w:spacing w:val="40"/>
          <w:sz w:val="22"/>
        </w:rPr>
        <w:t> </w:t>
      </w:r>
      <w:r>
        <w:rPr>
          <w:sz w:val="22"/>
        </w:rPr>
        <w:t>members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Board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External</w:t>
      </w:r>
      <w:r>
        <w:rPr>
          <w:spacing w:val="40"/>
          <w:sz w:val="22"/>
        </w:rPr>
        <w:t> </w:t>
      </w:r>
      <w:r>
        <w:rPr>
          <w:sz w:val="22"/>
        </w:rPr>
        <w:t>Auditors</w:t>
      </w:r>
      <w:r>
        <w:rPr>
          <w:spacing w:val="40"/>
          <w:sz w:val="22"/>
        </w:rPr>
        <w:t> </w:t>
      </w:r>
      <w:r>
        <w:rPr>
          <w:sz w:val="22"/>
        </w:rPr>
        <w:t>as well as three additional members for the eventual replacement of those</w:t>
      </w:r>
      <w:r>
        <w:rPr>
          <w:spacing w:val="80"/>
          <w:sz w:val="22"/>
        </w:rPr>
        <w:t> </w:t>
      </w:r>
      <w:r>
        <w:rPr>
          <w:sz w:val="22"/>
        </w:rPr>
        <w:t>regular Member States unable to take up their assignment on time;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05" w:val="left" w:leader="none"/>
        </w:tabs>
        <w:spacing w:line="244" w:lineRule="auto" w:before="0" w:after="0"/>
        <w:ind w:left="2004" w:right="134" w:hanging="524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revised Financial Rules and Regulations as recommended</w:t>
      </w:r>
      <w:r>
        <w:rPr>
          <w:spacing w:val="40"/>
          <w:sz w:val="22"/>
        </w:rPr>
        <w:t> </w:t>
      </w:r>
      <w:r>
        <w:rPr>
          <w:sz w:val="22"/>
        </w:rPr>
        <w:t>by the Fifty-ninth Session of the Advisory Committee, Doc. CM/1795 (LIX) and </w:t>
      </w:r>
      <w:r>
        <w:rPr>
          <w:b/>
          <w:sz w:val="22"/>
        </w:rPr>
        <w:t>AUTHORIZES </w:t>
      </w:r>
      <w:r>
        <w:rPr>
          <w:sz w:val="22"/>
        </w:rPr>
        <w:t>their implementation with effect from 1 June 1994;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05" w:val="left" w:leader="none"/>
        </w:tabs>
        <w:spacing w:line="244" w:lineRule="auto" w:before="0" w:after="0"/>
        <w:ind w:left="2004" w:right="124" w:hanging="524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recommendation of the First Ministerial Session of the</w:t>
      </w:r>
      <w:r>
        <w:rPr>
          <w:spacing w:val="80"/>
          <w:sz w:val="22"/>
        </w:rPr>
        <w:t> </w:t>
      </w:r>
      <w:r>
        <w:rPr>
          <w:sz w:val="22"/>
        </w:rPr>
        <w:t>OAU Central Organ to appropriate for each fiscal year 5% of the Regular Budget of the Organization for the OAU Peace Fund;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05" w:val="left" w:leader="none"/>
        </w:tabs>
        <w:spacing w:line="244" w:lineRule="auto" w:before="0" w:after="0"/>
        <w:ind w:left="2004" w:right="113" w:hanging="524"/>
        <w:jc w:val="both"/>
        <w:rPr>
          <w:sz w:val="22"/>
        </w:rPr>
      </w:pPr>
      <w:r>
        <w:rPr>
          <w:b/>
          <w:sz w:val="22"/>
        </w:rPr>
        <w:t>FURTHER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APPROVES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recommendation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Committee authorizing the Secretary-General to incur expenses of the Peace Fund to the tune of US$1,000,000.00 during 1993/94 Financial Year and</w:t>
      </w:r>
      <w:r>
        <w:rPr>
          <w:spacing w:val="40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 Advisory Committee to regularize the situation during the virement</w:t>
      </w:r>
      <w:r>
        <w:rPr>
          <w:spacing w:val="40"/>
          <w:sz w:val="22"/>
        </w:rPr>
        <w:t> </w:t>
      </w:r>
      <w:r>
        <w:rPr>
          <w:sz w:val="22"/>
        </w:rPr>
        <w:t>session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transferring,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exceptional</w:t>
      </w:r>
      <w:r>
        <w:rPr>
          <w:spacing w:val="40"/>
          <w:sz w:val="22"/>
        </w:rPr>
        <w:t> </w:t>
      </w:r>
      <w:r>
        <w:rPr>
          <w:sz w:val="22"/>
        </w:rPr>
        <w:t>basis,</w:t>
      </w:r>
      <w:r>
        <w:rPr>
          <w:spacing w:val="40"/>
          <w:sz w:val="22"/>
        </w:rPr>
        <w:t> </w:t>
      </w:r>
      <w:r>
        <w:rPr>
          <w:sz w:val="22"/>
        </w:rPr>
        <w:t>funds</w:t>
      </w:r>
      <w:r>
        <w:rPr>
          <w:spacing w:val="40"/>
          <w:sz w:val="22"/>
        </w:rPr>
        <w:t> </w:t>
      </w:r>
      <w:r>
        <w:rPr>
          <w:sz w:val="22"/>
        </w:rPr>
        <w:t>appropriated</w:t>
      </w:r>
      <w:r>
        <w:rPr>
          <w:spacing w:val="40"/>
          <w:sz w:val="22"/>
        </w:rPr>
        <w:t> </w:t>
      </w:r>
      <w:r>
        <w:rPr>
          <w:sz w:val="22"/>
        </w:rPr>
        <w:t>for personnel emoluments in the 1993/94 budget;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1" w:after="0"/>
        <w:ind w:left="2009" w:right="112" w:hanging="519"/>
        <w:jc w:val="both"/>
        <w:rPr>
          <w:b/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the recommendation of the Advisory Committee regarding budget financing from the arrears, for a further period of 2 years, starting</w:t>
      </w:r>
      <w:r>
        <w:rPr>
          <w:spacing w:val="80"/>
          <w:sz w:val="22"/>
        </w:rPr>
        <w:t> </w:t>
      </w:r>
      <w:r>
        <w:rPr>
          <w:sz w:val="22"/>
        </w:rPr>
        <w:t>from June 1994, and to that end,</w:t>
      </w:r>
      <w:r>
        <w:rPr>
          <w:spacing w:val="40"/>
          <w:sz w:val="22"/>
        </w:rPr>
        <w:t> </w:t>
      </w:r>
      <w:r>
        <w:rPr>
          <w:b/>
          <w:sz w:val="22"/>
        </w:rPr>
        <w:t>DECIDES </w:t>
      </w:r>
      <w:r>
        <w:rPr>
          <w:sz w:val="22"/>
        </w:rPr>
        <w:t>to devote for each year of the biennial,</w:t>
      </w:r>
      <w:r>
        <w:rPr>
          <w:spacing w:val="40"/>
          <w:sz w:val="22"/>
        </w:rPr>
        <w:t> </w:t>
      </w:r>
      <w:r>
        <w:rPr>
          <w:sz w:val="22"/>
        </w:rPr>
        <w:t>15%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amount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arrears</w:t>
      </w:r>
      <w:r>
        <w:rPr>
          <w:spacing w:val="40"/>
          <w:sz w:val="22"/>
        </w:rPr>
        <w:t> </w:t>
      </w:r>
      <w:r>
        <w:rPr>
          <w:sz w:val="22"/>
        </w:rPr>
        <w:t>collected</w:t>
      </w:r>
      <w:r>
        <w:rPr>
          <w:spacing w:val="40"/>
          <w:sz w:val="22"/>
        </w:rPr>
        <w:t> </w:t>
      </w:r>
      <w:r>
        <w:rPr>
          <w:sz w:val="22"/>
        </w:rPr>
        <w:t>during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last</w:t>
      </w:r>
      <w:r>
        <w:rPr>
          <w:spacing w:val="40"/>
          <w:sz w:val="22"/>
        </w:rPr>
        <w:t> </w:t>
      </w:r>
      <w:r>
        <w:rPr>
          <w:sz w:val="22"/>
        </w:rPr>
        <w:t>financial year taken as reference;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14" w:hanging="519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submit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sessions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Advisory Committee a detailed report on the utilization of the extra-</w:t>
      </w:r>
      <w:r>
        <w:rPr>
          <w:spacing w:val="40"/>
          <w:sz w:val="22"/>
        </w:rPr>
        <w:t> </w:t>
      </w:r>
      <w:r>
        <w:rPr>
          <w:sz w:val="22"/>
        </w:rPr>
        <w:t>budgetary resources placed at the disposal of the OAU;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23" w:hanging="519"/>
        <w:jc w:val="both"/>
        <w:rPr>
          <w:sz w:val="22"/>
        </w:rPr>
      </w:pPr>
      <w:r>
        <w:rPr>
          <w:b/>
          <w:sz w:val="22"/>
        </w:rPr>
        <w:t>STRONGLY URGES </w:t>
      </w:r>
      <w:r>
        <w:rPr>
          <w:sz w:val="22"/>
        </w:rPr>
        <w:t>Member States to promptly honour their financial obligations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order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provide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resources necessary for its smooth-running and the implementation of the approved </w:t>
      </w:r>
      <w:r>
        <w:rPr>
          <w:spacing w:val="-2"/>
          <w:sz w:val="22"/>
        </w:rPr>
        <w:t>programmes.</w:t>
      </w:r>
    </w:p>
    <w:sectPr>
      <w:pgSz w:w="12240" w:h="15840"/>
      <w:pgMar w:top="74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04" w:hanging="524"/>
        <w:jc w:val="left"/>
      </w:pPr>
      <w:rPr>
        <w:rFonts w:hint="default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6" w:hanging="5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2" w:hanging="5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8" w:hanging="5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5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5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6" w:hanging="5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2" w:hanging="5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52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092" w:right="711" w:hanging="281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4" w:right="114" w:hanging="52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FIFTY-NINTH ORDINARY SESSION OF THE COUNCIL OF MINISTERS</dc:title>
  <dcterms:created xsi:type="dcterms:W3CDTF">2023-04-11T22:12:59Z</dcterms:created>
  <dcterms:modified xsi:type="dcterms:W3CDTF">2023-04-11T22:12:59Z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