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64" w:lineRule="auto"/>
        <w:ind w:left="0" w:right="0" w:firstLine="0"/>
        <w:jc w:val="center"/>
      </w:pPr>
      <w:r>
        <w:rPr>
          <w:b/>
          <w:bCs/>
          <w:color w:val="000000"/>
          <w:spacing w:val="0"/>
          <w:w w:val="100"/>
          <w:position w:val="0"/>
          <w:sz w:val="22"/>
          <w:szCs w:val="22"/>
          <w:u w:val="single"/>
        </w:rPr>
        <w:t>DECISION ON AFRICAN COMMODITIES</w:t>
        <w:br/>
        <w:t>DOC.EX.CL/226 (VIII)</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0" w:val="left"/>
        </w:tabs>
        <w:bidi w:val="0"/>
        <w:spacing w:before="0" w:line="233" w:lineRule="auto"/>
        <w:ind w:left="0" w:right="0" w:firstLine="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AU Ministerial Conference on Commodities;</w:t>
      </w:r>
    </w:p>
    <w:p>
      <w:pPr>
        <w:pStyle w:val="Style7"/>
        <w:keepNext w:val="0"/>
        <w:keepLines w:val="0"/>
        <w:widowControl w:val="0"/>
        <w:numPr>
          <w:ilvl w:val="0"/>
          <w:numId w:val="1"/>
        </w:numPr>
        <w:shd w:val="clear" w:color="auto" w:fill="auto"/>
        <w:tabs>
          <w:tab w:pos="720" w:val="left"/>
        </w:tabs>
        <w:bidi w:val="0"/>
        <w:spacing w:before="0" w:line="233" w:lineRule="auto"/>
        <w:ind w:left="0" w:right="0" w:firstLine="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Arusha Declaration and Plan of Action on African Commodities;</w:t>
      </w:r>
    </w:p>
    <w:p>
      <w:pPr>
        <w:pStyle w:val="Style7"/>
        <w:keepNext w:val="0"/>
        <w:keepLines w:val="0"/>
        <w:widowControl w:val="0"/>
        <w:numPr>
          <w:ilvl w:val="0"/>
          <w:numId w:val="1"/>
        </w:numPr>
        <w:shd w:val="clear" w:color="auto" w:fill="auto"/>
        <w:tabs>
          <w:tab w:pos="720" w:val="left"/>
        </w:tabs>
        <w:bidi w:val="0"/>
        <w:spacing w:before="0" w:line="226" w:lineRule="auto"/>
        <w:ind w:left="70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to implement the commitments contained in the Declaration and Plan of Action;</w:t>
      </w:r>
    </w:p>
    <w:p>
      <w:pPr>
        <w:pStyle w:val="Style7"/>
        <w:keepNext w:val="0"/>
        <w:keepLines w:val="0"/>
        <w:widowControl w:val="0"/>
        <w:numPr>
          <w:ilvl w:val="0"/>
          <w:numId w:val="1"/>
        </w:numPr>
        <w:shd w:val="clear" w:color="auto" w:fill="auto"/>
        <w:tabs>
          <w:tab w:pos="720" w:val="left"/>
        </w:tabs>
        <w:bidi w:val="0"/>
        <w:spacing w:before="0" w:line="240" w:lineRule="auto"/>
        <w:ind w:left="70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AUTHORIZES </w:t>
      </w:r>
      <w:r>
        <w:rPr>
          <w:color w:val="000000"/>
          <w:spacing w:val="0"/>
          <w:w w:val="100"/>
          <w:position w:val="0"/>
          <w:sz w:val="24"/>
          <w:szCs w:val="24"/>
        </w:rPr>
        <w:t>the Commission to initiate activities, in collaboration with Member States, RECs, the Common Fund for Commodities (CFC), UNCTAD, FAO, and other relevant organizations to establish a follow-up mechanism to facilitate the implementation of the Arusha Plan of Action on African Commodities;</w:t>
      </w:r>
    </w:p>
    <w:p>
      <w:pPr>
        <w:pStyle w:val="Style7"/>
        <w:keepNext w:val="0"/>
        <w:keepLines w:val="0"/>
        <w:widowControl w:val="0"/>
        <w:numPr>
          <w:ilvl w:val="0"/>
          <w:numId w:val="1"/>
        </w:numPr>
        <w:shd w:val="clear" w:color="auto" w:fill="auto"/>
        <w:tabs>
          <w:tab w:pos="720" w:val="left"/>
        </w:tabs>
        <w:bidi w:val="0"/>
        <w:spacing w:before="0" w:line="230"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report regularly to the Executive Council on progress in the implementation of the Arusha Plan of Action;</w:t>
      </w:r>
    </w:p>
    <w:p>
      <w:pPr>
        <w:pStyle w:val="Style7"/>
        <w:keepNext w:val="0"/>
        <w:keepLines w:val="0"/>
        <w:widowControl w:val="0"/>
        <w:numPr>
          <w:ilvl w:val="0"/>
          <w:numId w:val="1"/>
        </w:numPr>
        <w:shd w:val="clear" w:color="auto" w:fill="auto"/>
        <w:tabs>
          <w:tab w:pos="720" w:val="left"/>
        </w:tabs>
        <w:bidi w:val="0"/>
        <w:spacing w:before="0" w:line="233"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its gratitude to the UNDP, the Government of Japan and the CFC for their financial support and to UNCTAD and CFC for their technical support to the experts’ seminar and Ministerial Conference.</w:t>
      </w:r>
    </w:p>
    <w:sectPr>
      <w:footnotePr>
        <w:pos w:val="pageBottom"/>
        <w:numFmt w:val="decimal"/>
        <w:numRestart w:val="continuous"/>
      </w:footnotePr>
      <w:pgSz w:w="12240" w:h="16834"/>
      <w:pgMar w:top="2408" w:right="1368" w:bottom="2777"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