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REPORT OF THE NEPAD HEADS OF STATE AND</w:t>
        <w:br/>
        <w:t>GOVERNMENT ORIENTATION COMMITTEE (HSGOC)</w:t>
        <w:br/>
        <w:t>Doc. Assembly/AU/12(XXXIII)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20" w:right="0" w:hanging="72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WITH APPRECIATION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by the outgoing Chairperson of the NEPAD Heads of State and Government Orientation Committee, H.E. Macky Sall, President of the Republic of Senegal;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21" w:lineRule="auto"/>
        <w:ind w:left="720" w:right="0" w:hanging="72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conclusions and recommendations of the 37th NEPAD HSGOC Summit;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20" w:right="0" w:hanging="72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that the NEPAD vision and its programme, from inception, has been an intrinsic part of the African Union System and should remain so,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the African Union Commission and AUDA-NEPAD Secretariat to continue to harmonize their work programmes to prevent duplication of roles;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20" w:right="0" w:hanging="72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NOTES WITH APPRECIATION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Progress Report presented on behalf of H.E. Matamela Cyril Ramaphosa, President of the Republic of South Africa as Chair of the HSGOC High-level Sub-Committee on the Presidential Infrastructure Champion Initiative (PICI). While commending the Presidential Champions for their commitment,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UNDERSCORES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critical need for PICI projects to advance inter-connectivity among African Countries and sub-regions in order to address infrastructure deficits and boost intra-African trade.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that Financing in Africa infrastructure reveals a gap of US$90 Billion, thus, impeding the continent’s ability to deliver on critical development objectives. In this regard,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CALLS FOR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implementation of urgent measures aimed at unlocking access to finance,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AUDA-NEPAD to work closely with the African Development Bank (AfDB) in order to support the Africa Co-guarantee Platform (CGP) in view of increasing the amount of finance available to Africa for its infrastructure and trade by scaling up risk mitigation;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20" w:right="0" w:hanging="72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Decision EX.CL/Dec.1063(XXXV) adopting the legal instruments of AUDA-NEPAD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NOTES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issues raised by some member states of the HSGOC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principle of non-rotation of the 5 initiating Member States be retained;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20" w:right="0" w:hanging="72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FURTHER NOTES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Decision Assembly/AU/691(XXXI) nominating the Chairperson of the Commission to Co-Chair the Steering Committee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replace the Chairperson of the African Union Commission with the Chairperson of the Union;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33" w:lineRule="auto"/>
        <w:ind w:left="720" w:right="0" w:hanging="720"/>
        <w:jc w:val="both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amend all relevant AUDA-NEPAD legal instruments to include the decisions in paragraphs 5 and 6 above;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00" w:right="0" w:hanging="800"/>
        <w:jc w:val="both"/>
      </w:pPr>
      <w:bookmarkStart w:id="10" w:name="bookmark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8</w:t>
      </w:r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. HAVING AKNOWLEDGED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exceptional leadership, competency and continued improved performance of the AUDA-NEPAD under the auspices of Dr Ibrahim Assane Mayaki,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extension of his appointment until the appointment of a new Chief Executive Officer (CEO),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African Union Commission to complete the process of the appointment of the CEO for the AUDA-NEPAD by the next African Union Summit in January/February 2021 along the lines of the Maputo Declaration of July 2003, January 2008 AU Assembly Decision, in compliance with the African Union Staff Rules and Regulations,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CALLS 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encourage their citizens to submit applications for the post;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800" w:right="0" w:hanging="800"/>
        <w:jc w:val="both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election of H.E. Mr. Paul Kagame, President of the Republic of Rwanda, as HSGOC Chairperson, as well as the four (4) Vice Chairpersons for a single term of two years. The position of Vice-Chairperson and Rapporteur will be held by the outgoing Chairperson of the HSGOC, and the three other Vice</w:t>
        <w:softHyphen/>
        <w:t xml:space="preserve">Chairpersons are nominated after regional consultations.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H.E. President Macky Sall for the results achieved during his mandate and expresses its profound gratitude for his exceptional leadership as the Head of the HSGOC;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800" w:right="0" w:hanging="800"/>
        <w:jc w:val="both"/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 Assembly/AU/Dec.691(XXXI) and Article 7 of the AUDA- NEPAD Statute on the new membership of thirty-three (33) Member States as follows: eight (8) Heads of State and Government representing the Regional Economic Communities (RECs) and five (5) Member States per region:</w:t>
      </w:r>
    </w:p>
    <w:tbl>
      <w:tblPr>
        <w:tblOverlap w:val="never"/>
        <w:jc w:val="center"/>
        <w:tblLayout w:type="fixed"/>
      </w:tblPr>
      <w:tblGrid>
        <w:gridCol w:w="2525"/>
        <w:gridCol w:w="1430"/>
        <w:gridCol w:w="1694"/>
        <w:gridCol w:w="1925"/>
        <w:gridCol w:w="1795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Central Africa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East Africa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North Africa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Southern Africa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West Africa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1. Cameroon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6. Kenya 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11. Algeria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16. Lesotho*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21. Benin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2. Chad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7.Mauritius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12. Egypt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17. Malawi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22. Mali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3. D R Congo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8. Rwanda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13.Mauritania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18. South Africa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23. Nigeria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4. Equatorial Guinea*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9. Sudan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14. Morocco*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19. Zambia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24. Senegal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5. Gabon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10. Uganda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15. Tunisia*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20. Zimbabwe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25. Togo*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Note: * Newly elected members</w:t>
      </w:r>
    </w:p>
    <w:p>
      <w:pPr>
        <w:widowControl w:val="0"/>
        <w:spacing w:after="559" w:line="1" w:lineRule="exact"/>
      </w:pPr>
    </w:p>
    <w:tbl>
      <w:tblPr>
        <w:tblOverlap w:val="never"/>
        <w:jc w:val="left"/>
        <w:tblLayout w:type="fixed"/>
      </w:tblPr>
      <w:tblGrid>
        <w:gridCol w:w="922"/>
        <w:gridCol w:w="2256"/>
        <w:gridCol w:w="4862"/>
      </w:tblGrid>
      <w:tr>
        <w:trPr>
          <w:trHeight w:val="48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REGIONAL ECONOMIC COMMUNITIES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ECOWAS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ECCAS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I GAD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UMA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COMESA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SADC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B7C8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EAC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B7C8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CENSAD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772400" cy="1068959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6834"/>
      <w:pgMar w:top="1841" w:right="1353" w:bottom="1971" w:left="136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9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Table caption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1">
    <w:name w:val="Other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