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8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THE DRAFT RULES OF PROCEDURES OF THE ASSEMBLY, AND</w:t>
        <w:br/>
        <w:t>STATUTE OF THE COMMISSION</w:t>
      </w:r>
      <w:bookmarkEnd w:id="0"/>
      <w:bookmarkEnd w:id="1"/>
      <w:bookmarkEnd w:id="2"/>
    </w:p>
    <w:p>
      <w:pPr>
        <w:pStyle w:val="Style2"/>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4"/>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RECALLS </w:t>
      </w:r>
      <w:r>
        <w:rPr>
          <w:color w:val="000000"/>
          <w:spacing w:val="0"/>
          <w:w w:val="100"/>
          <w:position w:val="0"/>
          <w:sz w:val="24"/>
          <w:szCs w:val="24"/>
        </w:rPr>
        <w:t>Decision Ext/Assembly/AU/Dec.3(XI), which requested the Commission to align the relevant legal instruments of the Union, in line with the Institutional Reform of November 2018;</w:t>
      </w:r>
    </w:p>
    <w:p>
      <w:pPr>
        <w:pStyle w:val="Style4"/>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ALSO RECALLS </w:t>
      </w:r>
      <w:r>
        <w:rPr>
          <w:color w:val="000000"/>
          <w:spacing w:val="0"/>
          <w:w w:val="100"/>
          <w:position w:val="0"/>
          <w:sz w:val="24"/>
          <w:szCs w:val="24"/>
        </w:rPr>
        <w:t>Decision Assembly/AU/Dec.759(XXXIII) of February 2020, which took note of the recommendations on the alignment of the Rules of Procedures of the Assembly, Executive Council, Permanent Representatives’ Committee and the Statute of the Commission;</w:t>
      </w:r>
    </w:p>
    <w:p>
      <w:pPr>
        <w:pStyle w:val="Style4"/>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8" w:name="bookmark8"/>
      <w:bookmarkEnd w:id="8"/>
      <w:r>
        <w:rPr>
          <w:b/>
          <w:bCs/>
          <w:color w:val="000000"/>
          <w:spacing w:val="0"/>
          <w:w w:val="100"/>
          <w:position w:val="0"/>
          <w:sz w:val="24"/>
          <w:szCs w:val="24"/>
        </w:rPr>
        <w:t xml:space="preserve">TAKES NOTE </w:t>
      </w:r>
      <w:r>
        <w:rPr>
          <w:color w:val="000000"/>
          <w:spacing w:val="0"/>
          <w:w w:val="100"/>
          <w:position w:val="0"/>
          <w:sz w:val="24"/>
          <w:szCs w:val="24"/>
        </w:rPr>
        <w:t>of Decision EX.CL/Dec.1099(XXXVII) of October 2020, which adopted the aligned Rules of Procedures of the Executive Council and Permanent Representatives’ Committee, provisionally adopted the Assembly Rules of Procedures and the Statutes of the Commission, and recommended to the Assembly for final adoption;</w:t>
      </w:r>
    </w:p>
    <w:p>
      <w:pPr>
        <w:pStyle w:val="Style2"/>
        <w:keepNext/>
        <w:keepLines/>
        <w:widowControl w:val="0"/>
        <w:numPr>
          <w:ilvl w:val="0"/>
          <w:numId w:val="1"/>
        </w:numPr>
        <w:shd w:val="clear" w:color="auto" w:fill="auto"/>
        <w:tabs>
          <w:tab w:pos="723" w:val="left"/>
        </w:tabs>
        <w:bidi w:val="0"/>
        <w:spacing w:before="0" w:line="240" w:lineRule="auto"/>
        <w:ind w:left="0" w:right="0" w:firstLine="0"/>
        <w:jc w:val="left"/>
      </w:pPr>
      <w:bookmarkStart w:id="10" w:name="bookmark10"/>
      <w:bookmarkStart w:id="11" w:name="bookmark11"/>
      <w:bookmarkStart w:id="12" w:name="bookmark12"/>
      <w:bookmarkStart w:id="9" w:name="bookmark9"/>
      <w:bookmarkEnd w:id="11"/>
      <w:r>
        <w:rPr>
          <w:color w:val="000000"/>
          <w:spacing w:val="0"/>
          <w:w w:val="100"/>
          <w:position w:val="0"/>
          <w:sz w:val="24"/>
          <w:szCs w:val="24"/>
        </w:rPr>
        <w:t xml:space="preserve">HEREBY ADOPTS </w:t>
      </w:r>
      <w:r>
        <w:rPr>
          <w:b w:val="0"/>
          <w:bCs w:val="0"/>
          <w:color w:val="000000"/>
          <w:spacing w:val="0"/>
          <w:w w:val="100"/>
          <w:position w:val="0"/>
          <w:sz w:val="24"/>
          <w:szCs w:val="24"/>
        </w:rPr>
        <w:t>the:</w:t>
      </w:r>
      <w:bookmarkEnd w:id="10"/>
      <w:bookmarkEnd w:id="12"/>
      <w:bookmarkEnd w:id="9"/>
    </w:p>
    <w:p>
      <w:pPr>
        <w:pStyle w:val="Style4"/>
        <w:keepNext w:val="0"/>
        <w:keepLines w:val="0"/>
        <w:widowControl w:val="0"/>
        <w:numPr>
          <w:ilvl w:val="0"/>
          <w:numId w:val="3"/>
        </w:numPr>
        <w:shd w:val="clear" w:color="auto" w:fill="auto"/>
        <w:tabs>
          <w:tab w:pos="1407" w:val="left"/>
        </w:tabs>
        <w:bidi w:val="0"/>
        <w:spacing w:before="0" w:after="0" w:line="240" w:lineRule="auto"/>
        <w:ind w:left="0" w:right="0" w:firstLine="560"/>
        <w:jc w:val="left"/>
      </w:pPr>
      <w:bookmarkStart w:id="13" w:name="bookmark13"/>
      <w:bookmarkEnd w:id="13"/>
      <w:r>
        <w:rPr>
          <w:color w:val="000000"/>
          <w:spacing w:val="0"/>
          <w:w w:val="100"/>
          <w:position w:val="0"/>
          <w:sz w:val="24"/>
          <w:szCs w:val="24"/>
        </w:rPr>
        <w:t>Aligned Rules of Procedures of the Assembly; and</w:t>
      </w:r>
    </w:p>
    <w:p>
      <w:pPr>
        <w:pStyle w:val="Style4"/>
        <w:keepNext w:val="0"/>
        <w:keepLines w:val="0"/>
        <w:widowControl w:val="0"/>
        <w:numPr>
          <w:ilvl w:val="0"/>
          <w:numId w:val="3"/>
        </w:numPr>
        <w:shd w:val="clear" w:color="auto" w:fill="auto"/>
        <w:tabs>
          <w:tab w:pos="1407" w:val="left"/>
        </w:tabs>
        <w:bidi w:val="0"/>
        <w:spacing w:before="0" w:after="480" w:line="240" w:lineRule="auto"/>
        <w:ind w:left="0" w:right="0" w:firstLine="560"/>
        <w:jc w:val="left"/>
      </w:pPr>
      <w:bookmarkStart w:id="14" w:name="bookmark14"/>
      <w:bookmarkEnd w:id="14"/>
      <w:r>
        <w:rPr>
          <w:color w:val="000000"/>
          <w:spacing w:val="0"/>
          <w:w w:val="100"/>
          <w:position w:val="0"/>
          <w:sz w:val="24"/>
          <w:szCs w:val="24"/>
        </w:rPr>
        <w:t>Aligned Statute of the Commission.</w:t>
      </w:r>
    </w:p>
    <w:p>
      <w:pPr>
        <w:pStyle w:val="Style4"/>
        <w:keepNext w:val="0"/>
        <w:keepLines w:val="0"/>
        <w:widowControl w:val="0"/>
        <w:numPr>
          <w:ilvl w:val="0"/>
          <w:numId w:val="1"/>
        </w:numPr>
        <w:shd w:val="clear" w:color="auto" w:fill="auto"/>
        <w:tabs>
          <w:tab w:pos="723" w:val="left"/>
        </w:tabs>
        <w:bidi w:val="0"/>
        <w:spacing w:before="0" w:after="0" w:line="240" w:lineRule="auto"/>
        <w:ind w:left="700" w:right="0" w:hanging="700"/>
        <w:jc w:val="both"/>
      </w:pPr>
      <w:bookmarkStart w:id="15" w:name="bookmark15"/>
      <w:bookmarkEnd w:id="15"/>
      <w:r>
        <w:rPr>
          <w:b/>
          <w:bCs/>
          <w:color w:val="000000"/>
          <w:spacing w:val="0"/>
          <w:w w:val="100"/>
          <w:position w:val="0"/>
          <w:sz w:val="24"/>
          <w:szCs w:val="24"/>
        </w:rPr>
        <w:t xml:space="preserve">DECIDES </w:t>
      </w:r>
      <w:r>
        <w:rPr>
          <w:color w:val="000000"/>
          <w:spacing w:val="0"/>
          <w:w w:val="100"/>
          <w:position w:val="0"/>
          <w:sz w:val="24"/>
          <w:szCs w:val="24"/>
        </w:rPr>
        <w:t>to amend the Article 13 of the Aligned Rules of Procedure of the Assembly in accordance with AU/Assembly Dec 635, to read as follows:</w:t>
      </w:r>
    </w:p>
    <w:p>
      <w:pPr>
        <w:pStyle w:val="Style4"/>
        <w:keepNext w:val="0"/>
        <w:keepLines w:val="0"/>
        <w:widowControl w:val="0"/>
        <w:shd w:val="clear" w:color="auto" w:fill="auto"/>
        <w:bidi w:val="0"/>
        <w:spacing w:before="0" w:line="240" w:lineRule="auto"/>
        <w:ind w:left="700" w:right="0" w:firstLine="20"/>
        <w:jc w:val="both"/>
      </w:pPr>
      <w:r>
        <w:rPr>
          <w:color w:val="000000"/>
          <w:spacing w:val="0"/>
          <w:w w:val="100"/>
          <w:position w:val="0"/>
          <w:sz w:val="24"/>
          <w:szCs w:val="24"/>
        </w:rPr>
        <w:t>Article 13: the Mid-Year Coordination Meeting between the Union, the Regional Economic Communities (RECs) and the Regional Mechanisms (RMs).</w:t>
      </w:r>
    </w:p>
    <w:p>
      <w:pPr>
        <w:pStyle w:val="Style4"/>
        <w:keepNext w:val="0"/>
        <w:keepLines w:val="0"/>
        <w:widowControl w:val="0"/>
        <w:shd w:val="clear" w:color="auto" w:fill="auto"/>
        <w:bidi w:val="0"/>
        <w:spacing w:before="0" w:line="240" w:lineRule="auto"/>
        <w:ind w:left="700" w:right="0" w:firstLine="20"/>
        <w:jc w:val="both"/>
      </w:pPr>
      <w:r>
        <w:rPr>
          <w:color w:val="000000"/>
          <w:spacing w:val="0"/>
          <w:w w:val="100"/>
          <w:position w:val="0"/>
          <w:sz w:val="24"/>
          <w:szCs w:val="24"/>
        </w:rPr>
        <w:t>The Bureau of the AU Assembly shall hold a Mid-Year Coordination meeting with the Chairpersons of the RECs, the RMs and the AU Commission"</w:t>
      </w:r>
    </w:p>
    <w:sectPr>
      <w:footnotePr>
        <w:pos w:val="pageBottom"/>
        <w:numFmt w:val="decimal"/>
        <w:numRestart w:val="continuous"/>
      </w:footnotePr>
      <w:pgSz w:w="12240" w:h="16834"/>
      <w:pgMar w:top="1903" w:right="1380" w:bottom="2178" w:left="14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