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1908" w:right="938" w:hanging="143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u w:val="single"/>
          <w:rtl w:val="0"/>
        </w:rPr>
        <w:t xml:space="preserve">ACHPR/Res.295 (EXT.OS/XVII) 2015: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Resolution on Meetings of the Working Group on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The African Commission on Human and Peoples’ Rights (the Commission), meeting at its 17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Extraordinary Session held in Banjul, The Gambia, from 19 to 28 February 2015;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1" w:line="240" w:lineRule="auto"/>
        <w:ind w:left="477" w:right="66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peoples’ rights under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Rule 23 (1) of the Commission’s Rules of Procedure which provides that the Commission may create subsidiary mechanisms such as special rapporteurs, committees and working groups;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Rules 26 and 27 of the Rules of Procedure which provide that the Commission shall hold Ordinary and Extraordinary Sessions;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" w:line="240" w:lineRule="auto"/>
        <w:ind w:left="477" w:right="8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Resolution ACHPR/Res.194 (L) 11 on the establishment of the Working Group on Communications and the appointment of its members;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477" w:right="526.06299212598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ACHPR/Res.212 (EXT.OS/XI) 2012 on the mandate of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Commission’s Working Group on Communications;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ACHPR/Res.225 (LII) 2012 on the renewal of the mandate and modification of the composition of the Working Group on Communications;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technical nature of the work of the Working Group on Communications;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need to create favourable conditions for members of the Commission to properly implement their protection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196" w:right="878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Decides that the meetings of the Working Group on Communications shall be considered as extraordinary sessions;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200" w:line="240" w:lineRule="auto"/>
        <w:ind w:left="1196" w:right="876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Grants Commissioners participating in sessions of the Working Group on Communications the same entitlements as those given during ordinary and extraordinary sessions;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199" w:line="240" w:lineRule="auto"/>
        <w:ind w:left="1196" w:right="878" w:hanging="36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Tasks the Secretariat with ensuring the implementation of this Resolution and to report to the Commission.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96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Done in Banjul, The Gambia on 28 February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AA2523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AA2523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AA25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ziQLgZkuaYguw2gEg3ZJ/eTCQ==">AMUW2mUb+wRIqtSLjkINe7mHZbWrFf5xmFK6xDL1M6OYcjK7KtoSTIQLrWe0zkqWFdVYUCvDJ08LAp5dkY12HyYyh4gJIAPF8deOO0GHVnidK0jQ4VZx7pyIjNB7cMuxLWv4PJRkQiVl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2022-02-21T16:57:00Z</dcterms:created>
  <dc:creator>HOME</dc:creator>
</cp:coreProperties>
</file>