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240" w:lineRule="auto"/>
        <w:ind w:left="477" w:right="110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ACHPR/Res.312 (LVII) 2015: Resolution on the Renewal of the Mandate and Reconstitution of the Working Group on the Rights of Older Persons and People with Disabilities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4 to 18 November 2015 in Banjul, The Gambia;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African Union Policy Framework and Plan of Action on Ageing in which “</w:t>
      </w:r>
      <w:r w:rsidDel="00000000" w:rsidR="00000000" w:rsidRPr="00000000">
        <w:rPr>
          <w:rFonts w:ascii="Book Antiqua" w:cs="Book Antiqua" w:eastAsia="Book Antiqua" w:hAnsi="Book Antiqua"/>
          <w:i w:val="1"/>
          <w:color w:val="000000"/>
          <w:sz w:val="24"/>
          <w:szCs w:val="24"/>
          <w:rtl w:val="0"/>
        </w:rPr>
        <w:t xml:space="preserve">States Parties recognized the fundamental rights of older persons and committed themselves to abolishing all forms of discrimination based on age</w:t>
      </w:r>
      <w:r w:rsidDel="00000000" w:rsidR="00000000" w:rsidRPr="00000000">
        <w:rPr>
          <w:rFonts w:ascii="Book Antiqua" w:cs="Book Antiqua" w:eastAsia="Book Antiqua" w:hAnsi="Book Antiqua"/>
          <w:color w:val="000000"/>
          <w:sz w:val="24"/>
          <w:szCs w:val="24"/>
          <w:rtl w:val="0"/>
        </w:rPr>
        <w:t xml:space="preserve">” and undertook “</w:t>
      </w:r>
      <w:r w:rsidDel="00000000" w:rsidR="00000000" w:rsidRPr="00000000">
        <w:rPr>
          <w:rFonts w:ascii="Book Antiqua" w:cs="Book Antiqua" w:eastAsia="Book Antiqua" w:hAnsi="Book Antiqua"/>
          <w:i w:val="1"/>
          <w:color w:val="000000"/>
          <w:sz w:val="24"/>
          <w:szCs w:val="24"/>
          <w:rtl w:val="0"/>
        </w:rPr>
        <w:t xml:space="preserve">to ensure that the rights of older persons are protected by appropriate legislation, including the right to organize themselves in groups and the right to representation in order to advance their interest</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9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ACHPR/Res.106 (XXXXI) 07 of 30 May 2007 on the Rights of Older Persons in Africa adopted at its 41</w:t>
      </w:r>
      <w:r w:rsidDel="00000000" w:rsidR="00000000" w:rsidRPr="00000000">
        <w:rPr>
          <w:rFonts w:ascii="Book Antiqua" w:cs="Book Antiqua" w:eastAsia="Book Antiqua" w:hAnsi="Book Antiqua"/>
          <w:color w:val="000000"/>
          <w:sz w:val="16"/>
          <w:szCs w:val="16"/>
          <w:vertAlign w:val="superscript"/>
          <w:rtl w:val="0"/>
        </w:rPr>
        <w:t xml:space="preserve">st </w:t>
      </w:r>
      <w:r w:rsidDel="00000000" w:rsidR="00000000" w:rsidRPr="00000000">
        <w:rPr>
          <w:rFonts w:ascii="Book Antiqua" w:cs="Book Antiqua" w:eastAsia="Book Antiqua" w:hAnsi="Book Antiqua"/>
          <w:color w:val="000000"/>
          <w:sz w:val="24"/>
          <w:szCs w:val="24"/>
          <w:rtl w:val="0"/>
        </w:rPr>
        <w:t xml:space="preserve">Ordinary Session held from 16 to 30 May 2007 in Accra, Ghana;</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92"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ACHPR/Res.118 (XXXXII) 07 on the Appointment of a Focal Point on the Rights of Older Persons in Africa adopted at its 42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15 to 28 November 2007 in Brazzaville, Republic of Congo;</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w:t>
      </w:r>
      <w:r w:rsidDel="00000000" w:rsidR="00000000" w:rsidRPr="00000000">
        <w:rPr>
          <w:rFonts w:ascii="Book Antiqua" w:cs="Book Antiqua" w:eastAsia="Book Antiqua" w:hAnsi="Book Antiqua"/>
          <w:b w:val="1"/>
          <w:i w:val="1"/>
          <w:sz w:val="24"/>
          <w:szCs w:val="24"/>
          <w:rtl w:val="0"/>
        </w:rPr>
        <w:t xml:space="preserve"> </w:t>
      </w: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ACHPR/Res.143 (XXXXV) 09 transforming the Focal Point on the Rights of Older Persons in Africa into a Working Group on the Rights of Older Persons and People with Disabilities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Article 18(4) of the African Charter which stipulates that: </w:t>
      </w:r>
      <w:r w:rsidDel="00000000" w:rsidR="00000000" w:rsidRPr="00000000">
        <w:rPr>
          <w:rFonts w:ascii="Book Antiqua" w:cs="Book Antiqua" w:eastAsia="Book Antiqua" w:hAnsi="Book Antiqua"/>
          <w:i w:val="1"/>
          <w:color w:val="000000"/>
          <w:sz w:val="24"/>
          <w:szCs w:val="24"/>
          <w:rtl w:val="0"/>
        </w:rPr>
        <w:t xml:space="preserve">“The aged and the disabled shall also have the right to special measures of protection in keeping with their physical or moral needs”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9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paragraph 20 of the Kigali Declaration which “</w:t>
      </w:r>
      <w:r w:rsidDel="00000000" w:rsidR="00000000" w:rsidRPr="00000000">
        <w:rPr>
          <w:rFonts w:ascii="Book Antiqua" w:cs="Book Antiqua" w:eastAsia="Book Antiqua" w:hAnsi="Book Antiqua"/>
          <w:i w:val="1"/>
          <w:color w:val="000000"/>
          <w:sz w:val="24"/>
          <w:szCs w:val="24"/>
          <w:rtl w:val="0"/>
        </w:rPr>
        <w:t xml:space="preserve">calls upon States Parties to develop a Protocol on the protection of the rights of people with disabilities and the elderly”;</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mandate of the Focal Point, including to </w:t>
      </w:r>
      <w:r w:rsidDel="00000000" w:rsidR="00000000" w:rsidRPr="00000000">
        <w:rPr>
          <w:rFonts w:ascii="Book Antiqua" w:cs="Book Antiqua" w:eastAsia="Book Antiqua" w:hAnsi="Book Antiqua"/>
          <w:i w:val="1"/>
          <w:color w:val="000000"/>
          <w:sz w:val="24"/>
          <w:szCs w:val="24"/>
          <w:rtl w:val="0"/>
        </w:rPr>
        <w:t xml:space="preserve">“lead the process of drafting a Protocol to the African Charter on the Rights of Older Persons in Africa to be submitted to African Union policy organs for consideration and adoption as soon as possible”;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Appreciating </w:t>
      </w:r>
      <w:r w:rsidDel="00000000" w:rsidR="00000000" w:rsidRPr="00000000">
        <w:rPr>
          <w:rFonts w:ascii="Book Antiqua" w:cs="Book Antiqua" w:eastAsia="Book Antiqua" w:hAnsi="Book Antiqua"/>
          <w:color w:val="000000"/>
          <w:sz w:val="24"/>
          <w:szCs w:val="24"/>
          <w:rtl w:val="0"/>
        </w:rPr>
        <w:t xml:space="preserve">the work of the Focal Point in advocating for a human rights approach for the protection of the rights of older persons;</w:t>
      </w:r>
      <w:r w:rsidDel="00000000" w:rsidR="00000000" w:rsidRPr="00000000">
        <w:rPr>
          <w:rtl w:val="0"/>
        </w:rPr>
      </w:r>
    </w:p>
    <w:p w:rsidR="00000000" w:rsidDel="00000000" w:rsidP="00000000" w:rsidRDefault="00000000" w:rsidRPr="00000000" w14:paraId="00000016">
      <w:pPr>
        <w:spacing w:after="0" w:before="239"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mandate of the Working Group, and in order to facilitate the process of drafting a Protocol on Ageing towards ensuring compliance, by States Parties, with the recommendations made in the AU Policy Framework and Plan of Action on Ageing;</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ACHPR/Res.189 (XLIX) 11 adopted at its 49</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in Banjul, The Gambia, from 28 April to 12 May 2011 to increase the number of Experts of the Working Group in order for the Working Group to effectively carry out its mandate;</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9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ACHPR/Res.250 (CCL) 13 on the renewal of the mandate and appointment of the Chairperson and other members of the Working Group;</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92"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work and the outstanding achievements of the Chairperson and members of the Working Group, in particular regarding the draft Protocol on the Rights of Older Persons adopted by the Commission during its 52</w:t>
      </w:r>
      <w:r w:rsidDel="00000000" w:rsidR="00000000" w:rsidRPr="00000000">
        <w:rPr>
          <w:rFonts w:ascii="Book Antiqua" w:cs="Book Antiqua" w:eastAsia="Book Antiqua" w:hAnsi="Book Antiqua"/>
          <w:color w:val="000000"/>
          <w:sz w:val="16"/>
          <w:szCs w:val="16"/>
          <w:vertAlign w:val="superscript"/>
          <w:rtl w:val="0"/>
        </w:rPr>
        <w:t xml:space="preserve">nd </w:t>
      </w:r>
      <w:r w:rsidDel="00000000" w:rsidR="00000000" w:rsidRPr="00000000">
        <w:rPr>
          <w:rFonts w:ascii="Book Antiqua" w:cs="Book Antiqua" w:eastAsia="Book Antiqua" w:hAnsi="Book Antiqua"/>
          <w:color w:val="000000"/>
          <w:sz w:val="24"/>
          <w:szCs w:val="24"/>
          <w:rtl w:val="0"/>
        </w:rPr>
        <w:t xml:space="preserve">Ordinary Session held from 9 to 22 October 2012 in Yamoussoukro, Côte d’Ivoire; and the well advanced process of the preparation of a draft Protocol on the Rights of People with Disabilities in Africa;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91" w:line="240" w:lineRule="auto"/>
        <w:ind w:left="477" w:right="871"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two-year mandate of the Chairperson and other expert members of the Working Group has come to an end;</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9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w:t>
      </w:r>
      <w:r w:rsidDel="00000000" w:rsidR="00000000" w:rsidRPr="00000000">
        <w:rPr>
          <w:rFonts w:ascii="Book Antiqua" w:cs="Book Antiqua" w:eastAsia="Book Antiqua" w:hAnsi="Book Antiqua"/>
          <w:color w:val="333333"/>
          <w:sz w:val="24"/>
          <w:szCs w:val="24"/>
          <w:rtl w:val="0"/>
        </w:rPr>
        <w:t xml:space="preserve">to allow the Working Group on the Rights of Older Persons and People with Disabilities to continue to carry out its mandate and to address urgent related matters;</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before="91"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w:t>
      </w:r>
      <w:r w:rsidDel="00000000" w:rsidR="00000000" w:rsidRPr="00000000">
        <w:rPr>
          <w:rFonts w:ascii="Book Antiqua" w:cs="Book Antiqua" w:eastAsia="Book Antiqua" w:hAnsi="Book Antiqua"/>
          <w:i w:val="1"/>
          <w:color w:val="000000"/>
          <w:sz w:val="24"/>
          <w:szCs w:val="24"/>
          <w:rtl w:val="0"/>
        </w:rPr>
        <w:t xml:space="preserv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before="91" w:line="240" w:lineRule="auto"/>
        <w:ind w:left="1196" w:right="875" w:hanging="1196"/>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i.</w:t>
        <w:tab/>
        <w:t xml:space="preserve">Re-appoint Commissioner </w:t>
      </w:r>
      <w:r w:rsidDel="00000000" w:rsidR="00000000" w:rsidRPr="00000000">
        <w:rPr>
          <w:rFonts w:ascii="Book Antiqua" w:cs="Book Antiqua" w:eastAsia="Book Antiqua" w:hAnsi="Book Antiqua"/>
          <w:b w:val="1"/>
          <w:color w:val="000000"/>
          <w:sz w:val="24"/>
          <w:szCs w:val="24"/>
          <w:rtl w:val="0"/>
        </w:rPr>
        <w:t xml:space="preserve">Yeung Kam John Yeung Sik Yuen </w:t>
      </w:r>
      <w:r w:rsidDel="00000000" w:rsidR="00000000" w:rsidRPr="00000000">
        <w:rPr>
          <w:rFonts w:ascii="Book Antiqua" w:cs="Book Antiqua" w:eastAsia="Book Antiqua" w:hAnsi="Book Antiqua"/>
          <w:color w:val="000000"/>
          <w:sz w:val="24"/>
          <w:szCs w:val="24"/>
          <w:rtl w:val="0"/>
        </w:rPr>
        <w:t xml:space="preserve">as Chairperson of the Working Group for a period of two years as from 5 November 2015;</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720"/>
        </w:tabs>
        <w:spacing w:after="0" w:before="91" w:line="240" w:lineRule="auto"/>
        <w:ind w:left="1196" w:right="876"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w:t>
        <w:tab/>
        <w:t xml:space="preserve">Renew for the same period the mandate of Commissioner Reine Alapini Gansou and Commissioner Lawrence Murugu Mute as members of the Working Group;</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720"/>
        </w:tabs>
        <w:spacing w:after="0" w:line="240" w:lineRule="auto"/>
        <w:ind w:left="1196" w:right="878" w:hanging="36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iii.</w:t>
        <w:tab/>
        <w:t xml:space="preserve">Appoint for the same period Commissioner Zainabo Sylvie Kayitesi and Commissioner Jamesina E.L. King as members of the Working Group;</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left" w:pos="720"/>
        </w:tabs>
        <w:spacing w:after="0" w:line="240" w:lineRule="auto"/>
        <w:ind w:left="119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iv.</w:t>
        <w:tab/>
        <w:t xml:space="preserve">Renew for the same period the mandate of the following expert members: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tabs>
          <w:tab w:val="left" w:pos="720"/>
        </w:tabs>
        <w:spacing w:after="0"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Dr Tavengwa Machekano Nhongo;</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tabs>
          <w:tab w:val="left" w:pos="720"/>
        </w:tabs>
        <w:spacing w:after="0"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Ms Nadia Abdel-Wahab El-Afify;</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720"/>
        </w:tabs>
        <w:spacing w:after="0" w:before="92"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Mr Kudakwashe Dube; and</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720"/>
        </w:tabs>
        <w:spacing w:after="0" w:line="240" w:lineRule="auto"/>
        <w:ind w:left="2396" w:hanging="360"/>
        <w:rPr>
          <w:rFonts w:ascii="Book Antiqua" w:cs="Book Antiqua" w:eastAsia="Book Antiqua" w:hAnsi="Book Antiqua"/>
          <w:color w:val="000000"/>
          <w:sz w:val="24"/>
          <w:szCs w:val="24"/>
        </w:rPr>
      </w:pPr>
      <w:r w:rsidDel="00000000" w:rsidR="00000000" w:rsidRPr="00000000">
        <w:rPr>
          <w:rFonts w:ascii="Noto Sans Symbols" w:cs="Noto Sans Symbols" w:eastAsia="Noto Sans Symbols" w:hAnsi="Noto Sans Symbols"/>
          <w:color w:val="000000"/>
          <w:sz w:val="20"/>
          <w:szCs w:val="20"/>
          <w:rtl w:val="0"/>
        </w:rPr>
        <w:t xml:space="preserve">∙</w:t>
        <w:tab/>
      </w:r>
      <w:r w:rsidDel="00000000" w:rsidR="00000000" w:rsidRPr="00000000">
        <w:rPr>
          <w:rFonts w:ascii="Book Antiqua" w:cs="Book Antiqua" w:eastAsia="Book Antiqua" w:hAnsi="Book Antiqua"/>
          <w:color w:val="000000"/>
          <w:sz w:val="24"/>
          <w:szCs w:val="24"/>
          <w:rtl w:val="0"/>
        </w:rPr>
        <w:t xml:space="preserve">Dr Elly Macha</w:t>
      </w:r>
    </w:p>
    <w:p w:rsidR="00000000" w:rsidDel="00000000" w:rsidP="00000000" w:rsidRDefault="00000000" w:rsidRPr="00000000" w14:paraId="0000003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in Banjul, The Gambia, from 4 to 18 November 2015</w:t>
      </w:r>
      <w:r w:rsidDel="00000000" w:rsidR="00000000" w:rsidRPr="00000000">
        <w:rPr>
          <w:rtl w:val="0"/>
        </w:rPr>
      </w:r>
    </w:p>
    <w:p w:rsidR="00000000" w:rsidDel="00000000" w:rsidP="00000000" w:rsidRDefault="00000000" w:rsidRPr="00000000" w14:paraId="00000035">
      <w:pPr>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853C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853CD"/>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3853C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VuTcbNuvtkhiXtkSGni13Sf4w==">AMUW2mUed8wargXl7FwHmRyvG2KbBL5JGJERx7swA7HnipB16Y9eRW8nya6y8japkAPxYFveNIHlODVI4+qXI2ZMXBSZQddnjoIivU2HXQONXAj3+5UjSZONX9WzrtK+PPKGN5FcpK9T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2022-02-24T15:29:00Z</dcterms:created>
  <dc:creator>HOME</dc:creator>
</cp:coreProperties>
</file>