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right="113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ACHPR/Res.321 (LVII) 2015: Resolution on the Appointment of the Chairperson and Reconstitution of the Working Group on Extractive Industries, Environment and Human Rights Violations in Africa and Renewal of its Mandate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57</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in Banjul, The Gambia held from 4 to 18 November 2015:</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all the relevant regional and international human rights instruments, specifically Articles 21 and 24 of the African Charter on Human and Peoples’ Rights, on the right of all peoples to freely dispose of their wealth and natural resources and to a general satisfactory environment favourable to their development;</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unconditional responsibility of State Parties to prevent all forms of violations of human and peoples’ rights, including violations of human and peoples’ rights by non-state actors;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increasing rate of the destruction of the African environment and ecosystem by extractive industrial activities with impunity;</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Convinced </w:t>
      </w:r>
      <w:r w:rsidDel="00000000" w:rsidR="00000000" w:rsidRPr="00000000">
        <w:rPr>
          <w:rFonts w:ascii="Book Antiqua" w:cs="Book Antiqua" w:eastAsia="Book Antiqua" w:hAnsi="Book Antiqua"/>
          <w:color w:val="000000"/>
          <w:sz w:val="24"/>
          <w:szCs w:val="24"/>
          <w:rtl w:val="0"/>
        </w:rPr>
        <w:t xml:space="preserve">of the need for an improved protection of human rights, especially through improving the regulatory framework of the activities of the extractive industries including mining, oil, gas, and timber extraction, developing effective continental mechanisms for monitoring the human rights impact of the activities of the extractive industries and the development of jurisprudence on holding non-state actors accountable for human rights violations in Africa;</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Resolution </w:t>
      </w:r>
      <w:r w:rsidDel="00000000" w:rsidR="00000000" w:rsidRPr="00000000">
        <w:rPr>
          <w:rFonts w:ascii="Book Antiqua" w:cs="Book Antiqua" w:eastAsia="Book Antiqua" w:hAnsi="Book Antiqua"/>
          <w:color w:val="000000"/>
          <w:sz w:val="24"/>
          <w:szCs w:val="24"/>
          <w:rtl w:val="0"/>
        </w:rPr>
        <w:t xml:space="preserve">ACHPR/Res.48(XLVI) 2009</w:t>
      </w:r>
      <w:r w:rsidDel="00000000" w:rsidR="00000000" w:rsidRPr="00000000">
        <w:rPr>
          <w:rFonts w:ascii="Book Antiqua" w:cs="Book Antiqua" w:eastAsia="Book Antiqua" w:hAnsi="Book Antiqua"/>
          <w:b w:val="1"/>
          <w:color w:val="000000"/>
          <w:sz w:val="24"/>
          <w:szCs w:val="24"/>
          <w:rtl w:val="0"/>
        </w:rPr>
        <w:t xml:space="preserve">, </w:t>
      </w:r>
      <w:r w:rsidDel="00000000" w:rsidR="00000000" w:rsidRPr="00000000">
        <w:rPr>
          <w:rFonts w:ascii="Book Antiqua" w:cs="Book Antiqua" w:eastAsia="Book Antiqua" w:hAnsi="Book Antiqua"/>
          <w:i w:val="1"/>
          <w:color w:val="000000"/>
          <w:sz w:val="24"/>
          <w:szCs w:val="24"/>
          <w:rtl w:val="0"/>
        </w:rPr>
        <w:t xml:space="preserve">establishing the Working Group on Extractive Industries, Environment and Human Rights Violations in Africa (the Working Group)</w:t>
      </w:r>
      <w:r w:rsidDel="00000000" w:rsidR="00000000" w:rsidRPr="00000000">
        <w:rPr>
          <w:rFonts w:ascii="Book Antiqua" w:cs="Book Antiqua" w:eastAsia="Book Antiqua" w:hAnsi="Book Antiqua"/>
          <w:color w:val="000000"/>
          <w:sz w:val="24"/>
          <w:szCs w:val="24"/>
          <w:rtl w:val="0"/>
        </w:rPr>
        <w:t xml:space="preserve">, adopted during the 46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in Banjul, The Gambia, from 11 to 25 November 2009;</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Resolution </w:t>
      </w:r>
      <w:r w:rsidDel="00000000" w:rsidR="00000000" w:rsidRPr="00000000">
        <w:rPr>
          <w:rFonts w:ascii="Book Antiqua" w:cs="Book Antiqua" w:eastAsia="Book Antiqua" w:hAnsi="Book Antiqua"/>
          <w:color w:val="000000"/>
          <w:sz w:val="24"/>
          <w:szCs w:val="24"/>
          <w:rtl w:val="0"/>
        </w:rPr>
        <w:t xml:space="preserve">ACHPR/Res.98(L) 2011 </w:t>
      </w:r>
      <w:r w:rsidDel="00000000" w:rsidR="00000000" w:rsidRPr="00000000">
        <w:rPr>
          <w:rFonts w:ascii="Book Antiqua" w:cs="Book Antiqua" w:eastAsia="Book Antiqua" w:hAnsi="Book Antiqua"/>
          <w:i w:val="1"/>
          <w:color w:val="000000"/>
          <w:sz w:val="24"/>
          <w:szCs w:val="24"/>
          <w:rtl w:val="0"/>
        </w:rPr>
        <w:t xml:space="preserve">appointing the Chairperson and Commission members of the Working Group for an initial period of two years, </w:t>
      </w:r>
      <w:r w:rsidDel="00000000" w:rsidR="00000000" w:rsidRPr="00000000">
        <w:rPr>
          <w:rFonts w:ascii="Book Antiqua" w:cs="Book Antiqua" w:eastAsia="Book Antiqua" w:hAnsi="Book Antiqua"/>
          <w:color w:val="000000"/>
          <w:sz w:val="24"/>
          <w:szCs w:val="24"/>
          <w:rtl w:val="0"/>
        </w:rPr>
        <w:t xml:space="preserve">adopted at its 50</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in Banjul, The Gambia, from 24 October to 5 November, 2011;</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Resolutions </w:t>
      </w:r>
      <w:r w:rsidDel="00000000" w:rsidR="00000000" w:rsidRPr="00000000">
        <w:rPr>
          <w:rFonts w:ascii="Book Antiqua" w:cs="Book Antiqua" w:eastAsia="Book Antiqua" w:hAnsi="Book Antiqua"/>
          <w:color w:val="000000"/>
          <w:sz w:val="24"/>
          <w:szCs w:val="24"/>
          <w:rtl w:val="0"/>
        </w:rPr>
        <w:t xml:space="preserve">ACHPR/Res.215 (LI) 2012 and ACHPR/Res.253 (LIV) 2013</w:t>
      </w:r>
      <w:r w:rsidDel="00000000" w:rsidR="00000000" w:rsidRPr="00000000">
        <w:rPr>
          <w:rFonts w:ascii="Book Antiqua" w:cs="Book Antiqua" w:eastAsia="Book Antiqua" w:hAnsi="Book Antiqua"/>
          <w:b w:val="1"/>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on </w:t>
      </w:r>
      <w:r w:rsidDel="00000000" w:rsidR="00000000" w:rsidRPr="00000000">
        <w:rPr>
          <w:rFonts w:ascii="Book Antiqua" w:cs="Book Antiqua" w:eastAsia="Book Antiqua" w:hAnsi="Book Antiqua"/>
          <w:i w:val="1"/>
          <w:color w:val="000000"/>
          <w:sz w:val="24"/>
          <w:szCs w:val="24"/>
          <w:rtl w:val="0"/>
        </w:rPr>
        <w:t xml:space="preserve">the Renewal of the Mandate of the Expert Members of the Working Group and on the Renewal of the Mandate of the Working Group respectively</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Resolution ACHPR/Res.236 (LIII) 2013 on the </w:t>
      </w:r>
      <w:r w:rsidDel="00000000" w:rsidR="00000000" w:rsidRPr="00000000">
        <w:rPr>
          <w:rFonts w:ascii="Book Antiqua" w:cs="Book Antiqua" w:eastAsia="Book Antiqua" w:hAnsi="Book Antiqua"/>
          <w:i w:val="1"/>
          <w:color w:val="000000"/>
          <w:sz w:val="24"/>
          <w:szCs w:val="24"/>
          <w:rtl w:val="0"/>
        </w:rPr>
        <w:t xml:space="preserve">illicit flight of capital from Africa</w:t>
      </w:r>
      <w:r w:rsidDel="00000000" w:rsidR="00000000" w:rsidRPr="00000000">
        <w:rPr>
          <w:rFonts w:ascii="Book Antiqua" w:cs="Book Antiqua" w:eastAsia="Book Antiqua" w:hAnsi="Book Antiqua"/>
          <w:color w:val="000000"/>
          <w:sz w:val="24"/>
          <w:szCs w:val="24"/>
          <w:rtl w:val="0"/>
        </w:rPr>
        <w:t xml:space="preserve">, adopted during the 53</w:t>
      </w:r>
      <w:r w:rsidDel="00000000" w:rsidR="00000000" w:rsidRPr="00000000">
        <w:rPr>
          <w:rFonts w:ascii="Book Antiqua" w:cs="Book Antiqua" w:eastAsia="Book Antiqua" w:hAnsi="Book Antiqua"/>
          <w:color w:val="000000"/>
          <w:sz w:val="16"/>
          <w:szCs w:val="16"/>
          <w:vertAlign w:val="superscript"/>
          <w:rtl w:val="0"/>
        </w:rPr>
        <w:t xml:space="preserve">rd </w:t>
      </w:r>
      <w:r w:rsidDel="00000000" w:rsidR="00000000" w:rsidRPr="00000000">
        <w:rPr>
          <w:rFonts w:ascii="Book Antiqua" w:cs="Book Antiqua" w:eastAsia="Book Antiqua" w:hAnsi="Book Antiqua"/>
          <w:color w:val="000000"/>
          <w:sz w:val="24"/>
          <w:szCs w:val="24"/>
          <w:rtl w:val="0"/>
        </w:rPr>
        <w:t xml:space="preserve">Ordinary Session held from 9 to 23 April 2013 and which required the Working Group </w:t>
      </w:r>
      <w:r w:rsidDel="00000000" w:rsidR="00000000" w:rsidRPr="00000000">
        <w:rPr>
          <w:rFonts w:ascii="Book Antiqua" w:cs="Book Antiqua" w:eastAsia="Book Antiqua" w:hAnsi="Book Antiqua"/>
          <w:i w:val="1"/>
          <w:color w:val="000000"/>
          <w:sz w:val="24"/>
          <w:szCs w:val="24"/>
          <w:rtl w:val="0"/>
        </w:rPr>
        <w:t xml:space="preserve">on Extractive Industries, Environment and Human Rights Violations in Africa and the Working Group on Economic, Social and Cultural Rights in Africa </w:t>
      </w:r>
      <w:r w:rsidDel="00000000" w:rsidR="00000000" w:rsidRPr="00000000">
        <w:rPr>
          <w:rFonts w:ascii="Book Antiqua" w:cs="Book Antiqua" w:eastAsia="Book Antiqua" w:hAnsi="Book Antiqua"/>
          <w:color w:val="000000"/>
          <w:sz w:val="24"/>
          <w:szCs w:val="24"/>
          <w:rtl w:val="0"/>
        </w:rPr>
        <w:t xml:space="preserve">to carry out an in-depth study on the impact of the illicit flight of capital on human rights in Africa;</w:t>
      </w:r>
      <w:r w:rsidDel="00000000" w:rsidR="00000000" w:rsidRPr="00000000">
        <w:rPr>
          <w:rtl w:val="0"/>
        </w:rPr>
      </w:r>
    </w:p>
    <w:p w:rsidR="00000000" w:rsidDel="00000000" w:rsidP="00000000" w:rsidRDefault="00000000" w:rsidRPr="00000000" w14:paraId="00000014">
      <w:pPr>
        <w:spacing w:after="0" w:before="239"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with appreciation </w:t>
      </w:r>
      <w:r w:rsidDel="00000000" w:rsidR="00000000" w:rsidRPr="00000000">
        <w:rPr>
          <w:rFonts w:ascii="Book Antiqua" w:cs="Book Antiqua" w:eastAsia="Book Antiqua" w:hAnsi="Book Antiqua"/>
          <w:color w:val="000000"/>
          <w:sz w:val="24"/>
          <w:szCs w:val="24"/>
          <w:rtl w:val="0"/>
        </w:rPr>
        <w:t xml:space="preserve">the work undertaken during the past years by the Working Group under the leadership of Commissioner Pacifique Manirakiza;</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the mandate of the Chairperson comes to an end;</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the importance of the Working Group and the need to allow the Working Group to continue to carry out its mandate;</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DECIDES:</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before="1" w:line="240" w:lineRule="auto"/>
        <w:ind w:left="1436" w:right="873" w:hanging="5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to appoint the following for an initial period of two years taking effect as of 18 November 2015: </w:t>
      </w:r>
      <w:r w:rsidDel="00000000" w:rsidR="00000000" w:rsidRPr="00000000">
        <w:rPr>
          <w:rFonts w:ascii="Book Antiqua" w:cs="Book Antiqua" w:eastAsia="Book Antiqua" w:hAnsi="Book Antiqua"/>
          <w:b w:val="1"/>
          <w:color w:val="000000"/>
          <w:sz w:val="24"/>
          <w:szCs w:val="24"/>
          <w:rtl w:val="0"/>
        </w:rPr>
        <w:t xml:space="preserve">Commissioner Solomon Ayele Dersso </w:t>
      </w:r>
      <w:r w:rsidDel="00000000" w:rsidR="00000000" w:rsidRPr="00000000">
        <w:rPr>
          <w:rFonts w:ascii="Book Antiqua" w:cs="Book Antiqua" w:eastAsia="Book Antiqua" w:hAnsi="Book Antiqua"/>
          <w:color w:val="000000"/>
          <w:sz w:val="24"/>
          <w:szCs w:val="24"/>
          <w:rtl w:val="0"/>
        </w:rPr>
        <w:t xml:space="preserve">as Chairperson of the Working Group; </w:t>
      </w:r>
      <w:r w:rsidDel="00000000" w:rsidR="00000000" w:rsidRPr="00000000">
        <w:rPr>
          <w:rFonts w:ascii="Book Antiqua" w:cs="Book Antiqua" w:eastAsia="Book Antiqua" w:hAnsi="Book Antiqua"/>
          <w:b w:val="1"/>
          <w:color w:val="000000"/>
          <w:sz w:val="24"/>
          <w:szCs w:val="24"/>
          <w:rtl w:val="0"/>
        </w:rPr>
        <w:t xml:space="preserve">Commissioner Yeung Kam John Yeung Sik Yuen, </w:t>
      </w:r>
      <w:r w:rsidDel="00000000" w:rsidR="00000000" w:rsidRPr="00000000">
        <w:rPr>
          <w:rFonts w:ascii="Book Antiqua" w:cs="Book Antiqua" w:eastAsia="Book Antiqua" w:hAnsi="Book Antiqua"/>
          <w:color w:val="000000"/>
          <w:sz w:val="24"/>
          <w:szCs w:val="24"/>
          <w:rtl w:val="0"/>
        </w:rPr>
        <w:t xml:space="preserve">and </w:t>
      </w:r>
      <w:r w:rsidDel="00000000" w:rsidR="00000000" w:rsidRPr="00000000">
        <w:rPr>
          <w:rFonts w:ascii="Book Antiqua" w:cs="Book Antiqua" w:eastAsia="Book Antiqua" w:hAnsi="Book Antiqua"/>
          <w:b w:val="1"/>
          <w:color w:val="000000"/>
          <w:sz w:val="24"/>
          <w:szCs w:val="24"/>
          <w:rtl w:val="0"/>
        </w:rPr>
        <w:t xml:space="preserve">Commissioner Jamesina E.L King </w:t>
      </w:r>
      <w:r w:rsidDel="00000000" w:rsidR="00000000" w:rsidRPr="00000000">
        <w:rPr>
          <w:rFonts w:ascii="Book Antiqua" w:cs="Book Antiqua" w:eastAsia="Book Antiqua" w:hAnsi="Book Antiqua"/>
          <w:color w:val="000000"/>
          <w:sz w:val="24"/>
          <w:szCs w:val="24"/>
          <w:rtl w:val="0"/>
        </w:rPr>
        <w:t xml:space="preserve">as Members for the same period; and</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840"/>
        </w:tabs>
        <w:spacing w:after="0" w:line="240" w:lineRule="auto"/>
        <w:ind w:left="1436" w:right="874" w:hanging="900"/>
        <w:jc w:val="both"/>
        <w:rPr>
          <w:rFonts w:ascii="Book Antiqua" w:cs="Book Antiqua" w:eastAsia="Book Antiqua" w:hAnsi="Book Antiqua"/>
          <w:b w:val="1"/>
          <w:color w:val="000000"/>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ab/>
        <w:t xml:space="preserve"> ii.</w:t>
        <w:tab/>
      </w:r>
      <w:r w:rsidDel="00000000" w:rsidR="00000000" w:rsidRPr="00000000">
        <w:rPr>
          <w:rFonts w:ascii="Book Antiqua" w:cs="Book Antiqua" w:eastAsia="Book Antiqua" w:hAnsi="Book Antiqua"/>
          <w:color w:val="000000"/>
          <w:sz w:val="24"/>
          <w:szCs w:val="24"/>
          <w:rtl w:val="0"/>
        </w:rPr>
        <w:t xml:space="preserve">To maintain the current Expert Membership composition of the Working Group, as applicable, in line with its </w:t>
      </w:r>
      <w:r w:rsidDel="00000000" w:rsidR="00000000" w:rsidRPr="00000000">
        <w:rPr>
          <w:rFonts w:ascii="Book Antiqua" w:cs="Book Antiqua" w:eastAsia="Book Antiqua" w:hAnsi="Book Antiqua"/>
          <w:b w:val="1"/>
          <w:i w:val="1"/>
          <w:color w:val="000000"/>
          <w:sz w:val="24"/>
          <w:szCs w:val="24"/>
          <w:u w:val="single"/>
          <w:rtl w:val="0"/>
        </w:rPr>
        <w:t xml:space="preserve">ACHPR/Res.268 (LV) 2014:</w:t>
      </w:r>
      <w:r w:rsidDel="00000000" w:rsidR="00000000" w:rsidRPr="00000000">
        <w:rPr>
          <w:rFonts w:ascii="Book Antiqua" w:cs="Book Antiqua" w:eastAsia="Book Antiqua" w:hAnsi="Book Antiqua"/>
          <w:b w:val="1"/>
          <w:i w:val="1"/>
          <w:color w:val="000000"/>
          <w:sz w:val="24"/>
          <w:szCs w:val="24"/>
          <w:rtl w:val="0"/>
        </w:rPr>
        <w:t xml:space="preserve"> </w:t>
      </w:r>
      <w:r w:rsidDel="00000000" w:rsidR="00000000" w:rsidRPr="00000000">
        <w:rPr>
          <w:rFonts w:ascii="Book Antiqua" w:cs="Book Antiqua" w:eastAsia="Book Antiqua" w:hAnsi="Book Antiqua"/>
          <w:i w:val="1"/>
          <w:color w:val="000000"/>
          <w:sz w:val="24"/>
          <w:szCs w:val="24"/>
          <w:rtl w:val="0"/>
        </w:rPr>
        <w:t xml:space="preserve">On Appointing Expert Members for the Working Group </w:t>
      </w:r>
      <w:r w:rsidDel="00000000" w:rsidR="00000000" w:rsidRPr="00000000">
        <w:rPr>
          <w:rFonts w:ascii="Book Antiqua" w:cs="Book Antiqua" w:eastAsia="Book Antiqua" w:hAnsi="Book Antiqua"/>
          <w:color w:val="000000"/>
          <w:sz w:val="24"/>
          <w:szCs w:val="24"/>
          <w:rtl w:val="0"/>
        </w:rPr>
        <w:t xml:space="preserve">as follows</w:t>
      </w:r>
      <w:r w:rsidDel="00000000" w:rsidR="00000000" w:rsidRPr="00000000">
        <w:rPr>
          <w:rFonts w:ascii="Book Antiqua" w:cs="Book Antiqua" w:eastAsia="Book Antiqua" w:hAnsi="Book Antiqua"/>
          <w:b w:val="1"/>
          <w:color w:val="000000"/>
          <w:sz w:val="24"/>
          <w:szCs w:val="24"/>
          <w:rtl w:val="0"/>
        </w:rPr>
        <w:t xml:space="preserve">:</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720"/>
        </w:tabs>
        <w:spacing w:after="0" w:line="240" w:lineRule="auto"/>
        <w:ind w:left="2996" w:hanging="360"/>
        <w:rPr>
          <w:rFonts w:ascii="Book Antiqua" w:cs="Book Antiqua" w:eastAsia="Book Antiqua" w:hAnsi="Book Antiqua"/>
          <w:b w:val="1"/>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Mr. Clement Voulé;</w:t>
      </w:r>
    </w:p>
    <w:p w:rsidR="00000000" w:rsidDel="00000000" w:rsidP="00000000" w:rsidRDefault="00000000" w:rsidRPr="00000000" w14:paraId="00000021">
      <w:pPr>
        <w:tabs>
          <w:tab w:val="left" w:pos="720"/>
        </w:tabs>
        <w:spacing w:after="0" w:before="45" w:line="240" w:lineRule="auto"/>
        <w:ind w:left="2996" w:hanging="360"/>
        <w:rPr>
          <w:rFonts w:ascii="Book Antiqua" w:cs="Book Antiqua" w:eastAsia="Book Antiqua" w:hAnsi="Book Antiqua"/>
          <w:b w:val="1"/>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Professor James Gathii;</w:t>
      </w:r>
    </w:p>
    <w:p w:rsidR="00000000" w:rsidDel="00000000" w:rsidP="00000000" w:rsidRDefault="00000000" w:rsidRPr="00000000" w14:paraId="00000022">
      <w:pPr>
        <w:tabs>
          <w:tab w:val="left" w:pos="720"/>
        </w:tabs>
        <w:spacing w:after="0" w:before="43" w:line="240" w:lineRule="auto"/>
        <w:ind w:left="2996" w:hanging="360"/>
        <w:rPr>
          <w:rFonts w:ascii="Book Antiqua" w:cs="Book Antiqua" w:eastAsia="Book Antiqua" w:hAnsi="Book Antiqua"/>
          <w:b w:val="1"/>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Ms. Valerie Couillard;</w:t>
      </w:r>
    </w:p>
    <w:p w:rsidR="00000000" w:rsidDel="00000000" w:rsidP="00000000" w:rsidRDefault="00000000" w:rsidRPr="00000000" w14:paraId="00000023">
      <w:pPr>
        <w:tabs>
          <w:tab w:val="left" w:pos="720"/>
        </w:tabs>
        <w:spacing w:after="0" w:before="43" w:line="240" w:lineRule="auto"/>
        <w:ind w:left="2996" w:hanging="360"/>
        <w:rPr>
          <w:rFonts w:ascii="Book Antiqua" w:cs="Book Antiqua" w:eastAsia="Book Antiqua" w:hAnsi="Book Antiqua"/>
          <w:b w:val="1"/>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Professor Michelo Hansungule;</w:t>
      </w:r>
    </w:p>
    <w:p w:rsidR="00000000" w:rsidDel="00000000" w:rsidP="00000000" w:rsidRDefault="00000000" w:rsidRPr="00000000" w14:paraId="00000024">
      <w:pPr>
        <w:tabs>
          <w:tab w:val="left" w:pos="720"/>
        </w:tabs>
        <w:spacing w:after="0" w:before="43" w:line="240" w:lineRule="auto"/>
        <w:ind w:left="2996" w:hanging="360"/>
        <w:rPr>
          <w:rFonts w:ascii="Book Antiqua" w:cs="Book Antiqua" w:eastAsia="Book Antiqua" w:hAnsi="Book Antiqua"/>
          <w:b w:val="1"/>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Ms. Sheila Keetharuth; and</w:t>
      </w:r>
    </w:p>
    <w:p w:rsidR="00000000" w:rsidDel="00000000" w:rsidP="00000000" w:rsidRDefault="00000000" w:rsidRPr="00000000" w14:paraId="00000025">
      <w:pPr>
        <w:tabs>
          <w:tab w:val="left" w:pos="720"/>
        </w:tabs>
        <w:spacing w:after="0" w:before="45" w:line="240" w:lineRule="auto"/>
        <w:ind w:left="2996" w:hanging="360"/>
        <w:rPr>
          <w:rFonts w:ascii="Book Antiqua" w:cs="Book Antiqua" w:eastAsia="Book Antiqua" w:hAnsi="Book Antiqua"/>
          <w:b w:val="1"/>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Mr. Eric Kassongo Kalonji</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before="259" w:line="240" w:lineRule="auto"/>
        <w:ind w:left="594" w:right="994" w:hanging="1.0000000000000142"/>
        <w:jc w:val="center"/>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Adopted on 17 November 2015 at the 57</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 Peoples’ Rights, held from 4 to 18 November 2015 in Banjul, The Gambia</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3B6A49"/>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3B6A49"/>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3B6A49"/>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LL2zp8jfZ/uvwRUHHLyM6QeX7A==">AMUW2mVXNNEV+/O3il09cF2RkfQkHvx0WozFqdQ+P4Rg1St4n38Gb+Kvp0ntyuztWKMhb4eQTy96bV8T7NyFK5JKDg1bSgglDdYe1ftSWwC6p3MBkYev4AEt7oQ3v3f93Ne4WNgHdJDL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2022-02-24T17:07:00Z</dcterms:created>
  <dc:creator>HOME</dc:creator>
</cp:coreProperties>
</file>