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Rule="auto"/>
        <w:ind w:right="139" w:firstLine="137"/>
        <w:jc w:val="both"/>
        <w:rPr/>
      </w:pPr>
      <w:bookmarkStart w:colFirst="0" w:colLast="0" w:name="_heading=h.gjdgxs" w:id="0"/>
      <w:bookmarkEnd w:id="0"/>
      <w:r w:rsidDel="00000000" w:rsidR="00000000" w:rsidRPr="00000000">
        <w:rPr>
          <w:rtl w:val="0"/>
        </w:rPr>
        <w:t xml:space="preserve">ACHPR/Res. 386(LXI) 2017: Resolution on the Renewal of the Mandate and Reconstitution of the Working Group on Extractive Industries, Environment and Human Rights Violations in Africa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spacing w:before="0" w:lineRule="auto"/>
        <w:ind w:right="134" w:firstLine="137"/>
        <w:rPr/>
      </w:pPr>
      <w:r w:rsidDel="00000000" w:rsidR="00000000" w:rsidRPr="00000000">
        <w:rPr>
          <w:rtl w:val="0"/>
        </w:rPr>
        <w:t xml:space="preserve">The African Commission on Human and Peoples’ Rights (the Commission), meeting at its 61</w:t>
      </w:r>
      <w:r w:rsidDel="00000000" w:rsidR="00000000" w:rsidRPr="00000000">
        <w:rPr>
          <w:sz w:val="26.666666666666668"/>
          <w:szCs w:val="26.666666666666668"/>
          <w:vertAlign w:val="superscript"/>
          <w:rtl w:val="0"/>
        </w:rPr>
        <w:t xml:space="preserve">st </w:t>
      </w:r>
      <w:r w:rsidDel="00000000" w:rsidR="00000000" w:rsidRPr="00000000">
        <w:rPr>
          <w:rtl w:val="0"/>
        </w:rPr>
        <w:t xml:space="preserve">Ordinary Session held from 01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and protect human and peoples’ rights in Africa under the African Charter on Human and Peoples’ Rights (African Charter);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Aware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in the exercise of its mandate, the Commission has established various mechanisms for the promotion and protection of human and peoples’ rights in Africa;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 relevant regional and international human rights instruments, specifically Articles 21 and 24 of the African Charter, on the right of all peoples to freely dispose of their wealth and natural resources, and to a generally satisfactory environment favorable to their development;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previous Resolutions on the need for an improved protection of human rights and the environment, especially through improving the regulatory framework for the activities of the extractive industries, developing effective continental mechanisms for monitoring the human rights impact of the activities of the extractive industries and the development of jurisprudence on holding non-state actors accountable for human rights violations in Africa;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in particular</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Resolution ACHPR/Res. 148(XLVI) 2009,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establishing the Working Group on Extractive Industries, Environment and Human Rights Violations in Africa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Working Group) which further mandated the Working Group to prepare a comprehensive report on extractive industries on the continent, which work is ongoing;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Recalling further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Resolution ACHPR/Res.236 (LIII) 2013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on the Illicit Flight of Capital from Africa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Resolution ACHPR/Res.271 (LV) 2014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on Climate Change in Africa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and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Resolution ACHPR/Res. 364(LIX) 2016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on Developing Reporting Guidelines with Respect to the Extractive Industries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by which the Commission has tasked the Working Group with additional responsibilities;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with satisfaction the work accomplished by the Working Group up-to-date;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4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Recognizing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importance of the Working Group and the need to allow the Working Group to continue to carry out its mandate;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Resolutions ACHPR/Res.321(LVII)2015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and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ACHPR/Res.353 (EXT.OS/XX) 2016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relating to the mandate and the current composition of the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sectPr>
          <w:pgSz w:h="16840" w:w="11910" w:orient="portrait"/>
          <w:pgMar w:bottom="940" w:top="1320" w:left="1280" w:right="1280" w:header="726" w:footer="743"/>
          <w:pgNumType w:start="1"/>
        </w:sect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37" w:right="13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Working Group, and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the mandate of the Working Group and its Members comes to an end on 1 November 2017;</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Mindful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the expressions of continued interest and commitment by the Expert Members in contributing their expertise to the implementation of the mandate of the Working Group;</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Also mindful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the need for adequate and equitable sub-regional representation in the Expert Membership of the Working Group, as well as the need for additional expertise to efficiently conduct its mandate;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37"/>
        <w:jc w:val="both"/>
        <w:rPr/>
      </w:pPr>
      <w:r w:rsidDel="00000000" w:rsidR="00000000" w:rsidRPr="00000000">
        <w:rPr>
          <w:rtl w:val="0"/>
        </w:rPr>
        <w:t xml:space="preserve">Decides to:</w:t>
      </w:r>
    </w:p>
    <w:p w:rsidR="00000000" w:rsidDel="00000000" w:rsidP="00000000" w:rsidRDefault="00000000" w:rsidRPr="00000000" w14:paraId="0000001E">
      <w:pPr>
        <w:tabs>
          <w:tab w:val="left" w:pos="858"/>
        </w:tabs>
        <w:ind w:left="1217" w:right="137" w:hanging="721"/>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w:t>
        <w:tab/>
        <w:tab/>
      </w:r>
      <w:r w:rsidDel="00000000" w:rsidR="00000000" w:rsidRPr="00000000">
        <w:rPr>
          <w:rFonts w:ascii="Book Antiqua" w:cs="Book Antiqua" w:eastAsia="Book Antiqua" w:hAnsi="Book Antiqua"/>
          <w:b w:val="1"/>
          <w:sz w:val="24"/>
          <w:szCs w:val="24"/>
          <w:rtl w:val="0"/>
        </w:rPr>
        <w:t xml:space="preserve">Extend </w:t>
      </w:r>
      <w:r w:rsidDel="00000000" w:rsidR="00000000" w:rsidRPr="00000000">
        <w:rPr>
          <w:rFonts w:ascii="Book Antiqua" w:cs="Book Antiqua" w:eastAsia="Book Antiqua" w:hAnsi="Book Antiqua"/>
          <w:sz w:val="24"/>
          <w:szCs w:val="24"/>
          <w:rtl w:val="0"/>
        </w:rPr>
        <w:t xml:space="preserve">the mandate of the Working Group for a period of 2 years, taking effect from 15 November 2017;</w:t>
      </w:r>
    </w:p>
    <w:p w:rsidR="00000000" w:rsidDel="00000000" w:rsidP="00000000" w:rsidRDefault="00000000" w:rsidRPr="00000000" w14:paraId="0000001F">
      <w:pPr>
        <w:tabs>
          <w:tab w:val="left" w:pos="858"/>
        </w:tabs>
        <w:ind w:left="1217" w:right="135" w:hanging="721"/>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ii.</w:t>
        <w:tab/>
        <w:tab/>
      </w:r>
      <w:r w:rsidDel="00000000" w:rsidR="00000000" w:rsidRPr="00000000">
        <w:rPr>
          <w:rFonts w:ascii="Book Antiqua" w:cs="Book Antiqua" w:eastAsia="Book Antiqua" w:hAnsi="Book Antiqua"/>
          <w:b w:val="1"/>
          <w:sz w:val="24"/>
          <w:szCs w:val="24"/>
          <w:rtl w:val="0"/>
        </w:rPr>
        <w:t xml:space="preserve">Renew </w:t>
      </w:r>
      <w:r w:rsidDel="00000000" w:rsidR="00000000" w:rsidRPr="00000000">
        <w:rPr>
          <w:rFonts w:ascii="Book Antiqua" w:cs="Book Antiqua" w:eastAsia="Book Antiqua" w:hAnsi="Book Antiqua"/>
          <w:sz w:val="24"/>
          <w:szCs w:val="24"/>
          <w:rtl w:val="0"/>
        </w:rPr>
        <w:t xml:space="preserve">the mandate of </w:t>
      </w:r>
      <w:r w:rsidDel="00000000" w:rsidR="00000000" w:rsidRPr="00000000">
        <w:rPr>
          <w:rFonts w:ascii="Book Antiqua" w:cs="Book Antiqua" w:eastAsia="Book Antiqua" w:hAnsi="Book Antiqua"/>
          <w:b w:val="1"/>
          <w:sz w:val="24"/>
          <w:szCs w:val="24"/>
          <w:rtl w:val="0"/>
        </w:rPr>
        <w:t xml:space="preserve">Commissioner Solomon Ayele Dersso </w:t>
      </w:r>
      <w:r w:rsidDel="00000000" w:rsidR="00000000" w:rsidRPr="00000000">
        <w:rPr>
          <w:rFonts w:ascii="Book Antiqua" w:cs="Book Antiqua" w:eastAsia="Book Antiqua" w:hAnsi="Book Antiqua"/>
          <w:sz w:val="24"/>
          <w:szCs w:val="24"/>
          <w:rtl w:val="0"/>
        </w:rPr>
        <w:t xml:space="preserve">as Chairperson of the Working Group, as well as </w:t>
      </w:r>
      <w:r w:rsidDel="00000000" w:rsidR="00000000" w:rsidRPr="00000000">
        <w:rPr>
          <w:rFonts w:ascii="Book Antiqua" w:cs="Book Antiqua" w:eastAsia="Book Antiqua" w:hAnsi="Book Antiqua"/>
          <w:b w:val="1"/>
          <w:sz w:val="24"/>
          <w:szCs w:val="24"/>
          <w:rtl w:val="0"/>
        </w:rPr>
        <w:t xml:space="preserve">Commissioners Yeung Kam John Yeung Sik Yuen </w:t>
      </w:r>
      <w:r w:rsidDel="00000000" w:rsidR="00000000" w:rsidRPr="00000000">
        <w:rPr>
          <w:rFonts w:ascii="Book Antiqua" w:cs="Book Antiqua" w:eastAsia="Book Antiqua" w:hAnsi="Book Antiqua"/>
          <w:sz w:val="24"/>
          <w:szCs w:val="24"/>
          <w:rtl w:val="0"/>
        </w:rPr>
        <w:t xml:space="preserve">and </w:t>
      </w:r>
      <w:r w:rsidDel="00000000" w:rsidR="00000000" w:rsidRPr="00000000">
        <w:rPr>
          <w:rFonts w:ascii="Book Antiqua" w:cs="Book Antiqua" w:eastAsia="Book Antiqua" w:hAnsi="Book Antiqua"/>
          <w:b w:val="1"/>
          <w:sz w:val="24"/>
          <w:szCs w:val="24"/>
          <w:rtl w:val="0"/>
        </w:rPr>
        <w:t xml:space="preserve">Jamesina E.L. King </w:t>
      </w:r>
      <w:r w:rsidDel="00000000" w:rsidR="00000000" w:rsidRPr="00000000">
        <w:rPr>
          <w:rFonts w:ascii="Book Antiqua" w:cs="Book Antiqua" w:eastAsia="Book Antiqua" w:hAnsi="Book Antiqua"/>
          <w:sz w:val="24"/>
          <w:szCs w:val="24"/>
          <w:rtl w:val="0"/>
        </w:rPr>
        <w:t xml:space="preserve">as Members for the same period;</w:t>
      </w:r>
    </w:p>
    <w:p w:rsidR="00000000" w:rsidDel="00000000" w:rsidP="00000000" w:rsidRDefault="00000000" w:rsidRPr="00000000" w14:paraId="00000020">
      <w:pPr>
        <w:tabs>
          <w:tab w:val="left" w:pos="858"/>
        </w:tabs>
        <w:ind w:left="1217" w:right="137" w:hanging="721"/>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iii.</w:t>
        <w:tab/>
        <w:tab/>
      </w:r>
      <w:r w:rsidDel="00000000" w:rsidR="00000000" w:rsidRPr="00000000">
        <w:rPr>
          <w:rFonts w:ascii="Book Antiqua" w:cs="Book Antiqua" w:eastAsia="Book Antiqua" w:hAnsi="Book Antiqua"/>
          <w:b w:val="1"/>
          <w:sz w:val="24"/>
          <w:szCs w:val="24"/>
          <w:rtl w:val="0"/>
        </w:rPr>
        <w:t xml:space="preserve">Appoint Commissioner Rémy Ngoy Lumbu </w:t>
      </w:r>
      <w:r w:rsidDel="00000000" w:rsidR="00000000" w:rsidRPr="00000000">
        <w:rPr>
          <w:rFonts w:ascii="Book Antiqua" w:cs="Book Antiqua" w:eastAsia="Book Antiqua" w:hAnsi="Book Antiqua"/>
          <w:sz w:val="24"/>
          <w:szCs w:val="24"/>
          <w:rtl w:val="0"/>
        </w:rPr>
        <w:t xml:space="preserve">as a Member of the Working Group for the same period;</w:t>
      </w:r>
    </w:p>
    <w:p w:rsidR="00000000" w:rsidDel="00000000" w:rsidP="00000000" w:rsidRDefault="00000000" w:rsidRPr="00000000" w14:paraId="00000021">
      <w:pPr>
        <w:tabs>
          <w:tab w:val="left" w:pos="858"/>
        </w:tabs>
        <w:spacing w:before="1" w:line="298" w:lineRule="auto"/>
        <w:ind w:left="857" w:right="-40.8661417322827" w:hanging="361"/>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iv.</w:t>
        <w:tab/>
        <w:t xml:space="preserve">      </w:t>
      </w:r>
      <w:r w:rsidDel="00000000" w:rsidR="00000000" w:rsidRPr="00000000">
        <w:rPr>
          <w:rFonts w:ascii="Book Antiqua" w:cs="Book Antiqua" w:eastAsia="Book Antiqua" w:hAnsi="Book Antiqua"/>
          <w:b w:val="1"/>
          <w:sz w:val="24"/>
          <w:szCs w:val="24"/>
          <w:rtl w:val="0"/>
        </w:rPr>
        <w:t xml:space="preserve">Renew </w:t>
      </w:r>
      <w:r w:rsidDel="00000000" w:rsidR="00000000" w:rsidRPr="00000000">
        <w:rPr>
          <w:rFonts w:ascii="Book Antiqua" w:cs="Book Antiqua" w:eastAsia="Book Antiqua" w:hAnsi="Book Antiqua"/>
          <w:sz w:val="24"/>
          <w:szCs w:val="24"/>
          <w:rtl w:val="0"/>
        </w:rPr>
        <w:t xml:space="preserve">the membership of the following experts for the same </w:t>
        <w:tab/>
        <w:tab/>
        <w:t xml:space="preserve">   </w:t>
        <w:tab/>
        <w:t xml:space="preserve">period</w:t>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2">
      <w:pPr>
        <w:tabs>
          <w:tab w:val="left" w:pos="2298"/>
        </w:tabs>
        <w:spacing w:line="298" w:lineRule="auto"/>
        <w:ind w:left="2297" w:hanging="360.99999999999994"/>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tab/>
        <w:t xml:space="preserve">Mr. Clement Voulé;</w:t>
      </w:r>
    </w:p>
    <w:p w:rsidR="00000000" w:rsidDel="00000000" w:rsidP="00000000" w:rsidRDefault="00000000" w:rsidRPr="00000000" w14:paraId="00000023">
      <w:pPr>
        <w:tabs>
          <w:tab w:val="left" w:pos="2298"/>
        </w:tabs>
        <w:spacing w:line="298" w:lineRule="auto"/>
        <w:ind w:left="2297" w:hanging="360.99999999999994"/>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tab/>
        <w:t xml:space="preserve">Ms. Valerie Couillard;</w:t>
      </w:r>
    </w:p>
    <w:p w:rsidR="00000000" w:rsidDel="00000000" w:rsidP="00000000" w:rsidRDefault="00000000" w:rsidRPr="00000000" w14:paraId="00000024">
      <w:pPr>
        <w:tabs>
          <w:tab w:val="left" w:pos="2298"/>
        </w:tabs>
        <w:ind w:left="2297" w:hanging="360.99999999999994"/>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tab/>
        <w:t xml:space="preserve">Professor Michelo Hansungule;</w:t>
      </w:r>
    </w:p>
    <w:p w:rsidR="00000000" w:rsidDel="00000000" w:rsidP="00000000" w:rsidRDefault="00000000" w:rsidRPr="00000000" w14:paraId="00000025">
      <w:pPr>
        <w:tabs>
          <w:tab w:val="left" w:pos="2298"/>
        </w:tabs>
        <w:spacing w:before="1" w:line="298" w:lineRule="auto"/>
        <w:ind w:left="2297" w:hanging="360.99999999999994"/>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tab/>
        <w:t xml:space="preserve">Ms. Sheila Keetharuth;</w:t>
      </w:r>
    </w:p>
    <w:p w:rsidR="00000000" w:rsidDel="00000000" w:rsidP="00000000" w:rsidRDefault="00000000" w:rsidRPr="00000000" w14:paraId="00000026">
      <w:pPr>
        <w:tabs>
          <w:tab w:val="left" w:pos="2298"/>
        </w:tabs>
        <w:spacing w:line="298" w:lineRule="auto"/>
        <w:ind w:left="2297" w:hanging="360.99999999999994"/>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tab/>
        <w:t xml:space="preserve">Mr. Erick Kassongo Kalonji; and</w:t>
      </w:r>
    </w:p>
    <w:p w:rsidR="00000000" w:rsidDel="00000000" w:rsidP="00000000" w:rsidRDefault="00000000" w:rsidRPr="00000000" w14:paraId="00000027">
      <w:pPr>
        <w:tabs>
          <w:tab w:val="left" w:pos="2298"/>
        </w:tabs>
        <w:spacing w:line="298" w:lineRule="auto"/>
        <w:ind w:left="2297" w:hanging="360.99999999999994"/>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tab/>
        <w:t xml:space="preserve">Professor James Gathii;</w:t>
      </w:r>
    </w:p>
    <w:p w:rsidR="00000000" w:rsidDel="00000000" w:rsidP="00000000" w:rsidRDefault="00000000" w:rsidRPr="00000000" w14:paraId="00000028">
      <w:pPr>
        <w:tabs>
          <w:tab w:val="left" w:pos="858"/>
        </w:tabs>
        <w:ind w:left="1217" w:right="139" w:hanging="72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v.</w:t>
        <w:tab/>
        <w:tab/>
      </w:r>
      <w:r w:rsidDel="00000000" w:rsidR="00000000" w:rsidRPr="00000000">
        <w:rPr>
          <w:rFonts w:ascii="Book Antiqua" w:cs="Book Antiqua" w:eastAsia="Book Antiqua" w:hAnsi="Book Antiqua"/>
          <w:b w:val="1"/>
          <w:sz w:val="24"/>
          <w:szCs w:val="24"/>
          <w:rtl w:val="0"/>
        </w:rPr>
        <w:t xml:space="preserve">Expand </w:t>
      </w:r>
      <w:r w:rsidDel="00000000" w:rsidR="00000000" w:rsidRPr="00000000">
        <w:rPr>
          <w:rFonts w:ascii="Book Antiqua" w:cs="Book Antiqua" w:eastAsia="Book Antiqua" w:hAnsi="Book Antiqua"/>
          <w:sz w:val="24"/>
          <w:szCs w:val="24"/>
          <w:rtl w:val="0"/>
        </w:rPr>
        <w:t xml:space="preserve">the number of expert members to nine, with additional representation from North Africa and Anglophone West Africa.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ind w:firstLine="137"/>
        <w:jc w:val="both"/>
        <w:rPr/>
      </w:pPr>
      <w:r w:rsidDel="00000000" w:rsidR="00000000" w:rsidRPr="00000000">
        <w:rPr>
          <w:rtl w:val="0"/>
        </w:rPr>
        <w:t xml:space="preserve">Done in Banjul, The Gambia, on 15 November 2017</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type w:val="nextPage"/>
      <w:pgSz w:h="16840" w:w="1191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37"/>
    </w:pPr>
    <w:rPr>
      <w:rFonts w:ascii="Book Antiqua" w:cs="Book Antiqua" w:eastAsia="Book Antiqua" w:hAnsi="Book Antiqua"/>
      <w:b w:val="1"/>
      <w:sz w:val="24"/>
      <w:szCs w:val="24"/>
    </w:rPr>
  </w:style>
  <w:style w:type="paragraph" w:styleId="Heading2">
    <w:name w:val="heading 2"/>
    <w:basedOn w:val="Normal"/>
    <w:next w:val="Normal"/>
    <w:pPr>
      <w:widowControl w:val="0"/>
      <w:spacing w:after="0" w:before="1" w:line="240" w:lineRule="auto"/>
      <w:ind w:left="137"/>
      <w:jc w:val="both"/>
    </w:pPr>
    <w:rPr>
      <w:rFonts w:ascii="Book Antiqua" w:cs="Book Antiqua" w:eastAsia="Book Antiqua" w:hAnsi="Book Antiqua"/>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1"/>
    <w:qFormat w:val="1"/>
    <w:rsid w:val="002147A2"/>
    <w:pPr>
      <w:widowControl w:val="0"/>
      <w:autoSpaceDE w:val="0"/>
      <w:autoSpaceDN w:val="0"/>
      <w:adjustRightInd w:val="0"/>
      <w:spacing w:after="0" w:line="240" w:lineRule="auto"/>
      <w:ind w:left="137"/>
      <w:outlineLvl w:val="0"/>
    </w:pPr>
    <w:rPr>
      <w:rFonts w:ascii="Book Antiqua" w:cs="Book Antiqua" w:hAnsi="Book Antiqua" w:eastAsiaTheme="minorEastAsia"/>
      <w:b w:val="1"/>
      <w:bCs w:val="1"/>
      <w:sz w:val="24"/>
      <w:szCs w:val="24"/>
      <w:lang w:val="en-US"/>
    </w:rPr>
  </w:style>
  <w:style w:type="paragraph" w:styleId="Heading2">
    <w:name w:val="heading 2"/>
    <w:basedOn w:val="Normal"/>
    <w:next w:val="Normal"/>
    <w:link w:val="Heading2Char"/>
    <w:uiPriority w:val="1"/>
    <w:qFormat w:val="1"/>
    <w:rsid w:val="002147A2"/>
    <w:pPr>
      <w:widowControl w:val="0"/>
      <w:autoSpaceDE w:val="0"/>
      <w:autoSpaceDN w:val="0"/>
      <w:adjustRightInd w:val="0"/>
      <w:spacing w:after="0" w:before="1" w:line="240" w:lineRule="auto"/>
      <w:ind w:left="137"/>
      <w:jc w:val="both"/>
      <w:outlineLvl w:val="1"/>
    </w:pPr>
    <w:rPr>
      <w:rFonts w:ascii="Book Antiqua" w:cs="Book Antiqua" w:hAnsi="Book Antiqua" w:eastAsiaTheme="minorEastAsia"/>
      <w:b w:val="1"/>
      <w:bCs w:val="1"/>
      <w:i w:val="1"/>
      <w:iCs w:val="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2147A2"/>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2147A2"/>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2147A2"/>
    <w:pPr>
      <w:widowControl w:val="0"/>
      <w:autoSpaceDE w:val="0"/>
      <w:autoSpaceDN w:val="0"/>
      <w:adjustRightInd w:val="0"/>
      <w:spacing w:after="0" w:line="240" w:lineRule="auto"/>
    </w:pPr>
    <w:rPr>
      <w:rFonts w:ascii="Book Antiqua" w:cs="Book Antiqua" w:hAnsi="Book Antiqua" w:eastAsiaTheme="minorEastAsia"/>
      <w:sz w:val="24"/>
      <w:szCs w:val="24"/>
      <w:lang w:val="en-US"/>
    </w:rPr>
  </w:style>
  <w:style w:type="character" w:styleId="BodyTextChar" w:customStyle="1">
    <w:name w:val="Body Text Char"/>
    <w:basedOn w:val="DefaultParagraphFont"/>
    <w:link w:val="BodyText"/>
    <w:uiPriority w:val="1"/>
    <w:rsid w:val="002147A2"/>
    <w:rPr>
      <w:rFonts w:ascii="Book Antiqua" w:cs="Book Antiqua" w:hAnsi="Book Antiqua" w:eastAsiaTheme="minorEastAsia"/>
      <w:sz w:val="24"/>
      <w:szCs w:val="24"/>
      <w:lang w:val="en-US"/>
    </w:rPr>
  </w:style>
  <w:style w:type="paragraph" w:styleId="ListParagraph">
    <w:name w:val="List Paragraph"/>
    <w:basedOn w:val="Normal"/>
    <w:uiPriority w:val="1"/>
    <w:qFormat w:val="1"/>
    <w:rsid w:val="002147A2"/>
    <w:pPr>
      <w:widowControl w:val="0"/>
      <w:autoSpaceDE w:val="0"/>
      <w:autoSpaceDN w:val="0"/>
      <w:adjustRightInd w:val="0"/>
      <w:spacing w:after="0" w:line="240" w:lineRule="auto"/>
      <w:ind w:left="1937" w:hanging="361"/>
    </w:pPr>
    <w:rPr>
      <w:rFonts w:ascii="Book Antiqua" w:cs="Book Antiqua" w:hAnsi="Book Antiqua" w:eastAsiaTheme="minorEastAsia"/>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9FJSszBtFm8ywTfSLH2vnWew==">AMUW2mUEpb6faTf0Cmkm5TwpCfngR3oEHeFCstjRRPgdAIUKmkvprJ6CVLKE4HDUpx2OVDeEOObhzfv5hpR0UgXR75vBLVnipzgW5JazPUD25Ws1ikuGU53FXlTTgA43p5k3KR9bB55B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2022-03-01T16:20:00Z</dcterms:created>
  <dc:creator>HOME</dc:creator>
</cp:coreProperties>
</file>