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3AC" w:rsidRDefault="006673AC" w:rsidP="006673AC">
      <w:pPr>
        <w:pStyle w:val="NormalWeb"/>
        <w:spacing w:before="0" w:beforeAutospacing="0" w:after="200" w:afterAutospacing="0"/>
      </w:pPr>
      <w:r>
        <w:rPr>
          <w:rFonts w:ascii="Book Antiqua" w:hAnsi="Book Antiqua"/>
          <w:b/>
          <w:bCs/>
          <w:color w:val="000000"/>
          <w:sz w:val="22"/>
          <w:szCs w:val="22"/>
        </w:rPr>
        <w:t xml:space="preserve">ACHPR/Res. 431 (LXV) 2019 : </w:t>
      </w:r>
      <w:r>
        <w:rPr>
          <w:rFonts w:ascii="Book Antiqua" w:hAnsi="Book Antiqua"/>
          <w:b/>
          <w:bCs/>
          <w:color w:val="000000"/>
        </w:rPr>
        <w:t>Resolution on the Right to Food and Nutrition in Africa</w:t>
      </w:r>
    </w:p>
    <w:p w:rsidR="006673AC" w:rsidRDefault="006673AC" w:rsidP="006673AC">
      <w:pPr>
        <w:pStyle w:val="NormalWeb"/>
        <w:spacing w:before="0" w:beforeAutospacing="0" w:after="200" w:afterAutospacing="0"/>
        <w:jc w:val="both"/>
      </w:pPr>
      <w:r>
        <w:rPr>
          <w:rFonts w:ascii="Book Antiqua" w:hAnsi="Book Antiqua"/>
          <w:b/>
          <w:bCs/>
          <w:i/>
          <w:iCs/>
          <w:color w:val="000000"/>
        </w:rPr>
        <w:t>The African Commission on Human and Peoples’ Rights (the Commission), meeting at its 65th Ordinary Session held from 21 October to 10 November 2019, in Banjul, The Gambia:</w:t>
      </w:r>
    </w:p>
    <w:p w:rsidR="006673AC" w:rsidRDefault="006673AC" w:rsidP="006673AC">
      <w:pPr>
        <w:pStyle w:val="NormalWeb"/>
        <w:spacing w:before="0" w:beforeAutospacing="0" w:after="200" w:afterAutospacing="0"/>
        <w:jc w:val="both"/>
      </w:pPr>
      <w:r>
        <w:rPr>
          <w:rFonts w:ascii="Book Antiqua" w:hAnsi="Book Antiqua"/>
          <w:b/>
          <w:bCs/>
          <w:color w:val="000000"/>
        </w:rPr>
        <w:t>Recalling</w:t>
      </w:r>
      <w:r>
        <w:rPr>
          <w:rFonts w:ascii="Book Antiqua" w:hAnsi="Book Antiqua"/>
          <w:color w:val="000000"/>
        </w:rPr>
        <w:t xml:space="preserve"> its mandate to promote and protect human and peoples’ rights under the African Charter on Human and Peoples’ Rights (the African Charter);</w:t>
      </w:r>
    </w:p>
    <w:p w:rsidR="006673AC" w:rsidRDefault="006673AC" w:rsidP="006673AC">
      <w:pPr>
        <w:pStyle w:val="NormalWeb"/>
        <w:shd w:val="clear" w:color="auto" w:fill="FFFFFF"/>
        <w:spacing w:before="0" w:beforeAutospacing="0" w:after="0" w:afterAutospacing="0"/>
        <w:jc w:val="both"/>
      </w:pPr>
      <w:r>
        <w:rPr>
          <w:rFonts w:ascii="Book Antiqua" w:hAnsi="Book Antiqua"/>
          <w:b/>
          <w:bCs/>
          <w:color w:val="000000"/>
        </w:rPr>
        <w:t xml:space="preserve">Recalling </w:t>
      </w:r>
      <w:r>
        <w:rPr>
          <w:rFonts w:ascii="Book Antiqua" w:hAnsi="Book Antiqua"/>
          <w:color w:val="000000"/>
        </w:rPr>
        <w:t>that the African Charter enshrines Economic, Social and Cultural Rights, in particular in Articles 14, 15, 16, 17, 18, 21 and 22;</w:t>
      </w:r>
    </w:p>
    <w:p w:rsidR="006673AC" w:rsidRDefault="006673AC" w:rsidP="006673AC">
      <w:pPr>
        <w:pStyle w:val="NormalWeb"/>
        <w:shd w:val="clear" w:color="auto" w:fill="FFFFFF"/>
        <w:spacing w:before="0" w:beforeAutospacing="0" w:after="0" w:afterAutospacing="0"/>
        <w:jc w:val="both"/>
      </w:pPr>
      <w:r>
        <w:rPr>
          <w:rFonts w:ascii="Book Antiqua" w:hAnsi="Book Antiqua"/>
          <w:b/>
          <w:bCs/>
          <w:color w:val="000000"/>
        </w:rPr>
        <w:t>Considering</w:t>
      </w:r>
      <w:r>
        <w:rPr>
          <w:rFonts w:ascii="Book Antiqua" w:hAnsi="Book Antiqua"/>
          <w:color w:val="000000"/>
        </w:rPr>
        <w:t xml:space="preserve"> Article 14 of the African Charter on the Rights and Welfare of the Child which requires States to ensure the provision of adequate nutrition and combat disease and malnutrition within the framework of primary healthcare through the application of appropriate technology for children.</w:t>
      </w:r>
    </w:p>
    <w:p w:rsidR="006673AC" w:rsidRDefault="006673AC" w:rsidP="006673AC">
      <w:pPr>
        <w:pStyle w:val="NormalWeb"/>
        <w:shd w:val="clear" w:color="auto" w:fill="FFFFFF"/>
        <w:spacing w:before="0" w:beforeAutospacing="0" w:after="0" w:afterAutospacing="0"/>
        <w:jc w:val="both"/>
      </w:pPr>
      <w:r>
        <w:rPr>
          <w:rFonts w:ascii="Book Antiqua" w:hAnsi="Book Antiqua"/>
          <w:b/>
          <w:bCs/>
          <w:color w:val="000000"/>
        </w:rPr>
        <w:t xml:space="preserve">Considering </w:t>
      </w:r>
      <w:r>
        <w:rPr>
          <w:rFonts w:ascii="Book Antiqua" w:hAnsi="Book Antiqua"/>
          <w:color w:val="000000"/>
        </w:rPr>
        <w:t>the</w:t>
      </w:r>
      <w:r>
        <w:rPr>
          <w:rFonts w:ascii="Book Antiqua" w:hAnsi="Book Antiqua"/>
          <w:b/>
          <w:bCs/>
          <w:color w:val="000000"/>
        </w:rPr>
        <w:t xml:space="preserve"> </w:t>
      </w:r>
      <w:r>
        <w:rPr>
          <w:rFonts w:ascii="Book Antiqua" w:hAnsi="Book Antiqua"/>
          <w:color w:val="000000"/>
        </w:rPr>
        <w:t>Declaration of the Pretoria Seminar on Economic, Social and Cultural Rights in Africa</w:t>
      </w:r>
      <w:r>
        <w:rPr>
          <w:rFonts w:ascii="Book Antiqua" w:hAnsi="Book Antiqua"/>
          <w:color w:val="000000"/>
          <w:shd w:val="clear" w:color="auto" w:fill="FFFFFF"/>
        </w:rPr>
        <w:t>,</w:t>
      </w:r>
      <w:r>
        <w:rPr>
          <w:rFonts w:ascii="Book Antiqua" w:hAnsi="Book Antiqua"/>
          <w:b/>
          <w:bCs/>
          <w:color w:val="000000"/>
        </w:rPr>
        <w:t xml:space="preserve"> </w:t>
      </w:r>
      <w:r>
        <w:rPr>
          <w:rFonts w:ascii="Book Antiqua" w:hAnsi="Book Antiqua"/>
          <w:color w:val="000000"/>
          <w:shd w:val="clear" w:color="auto" w:fill="FFFFFF"/>
        </w:rPr>
        <w:t>the Principles and Guidelines on the Implementation of Economic, Social and Cultural Rights in the African Charter on Human and Peoples Rights</w:t>
      </w:r>
      <w:r>
        <w:rPr>
          <w:rFonts w:ascii="Book Antiqua" w:hAnsi="Book Antiqua"/>
          <w:color w:val="000000"/>
        </w:rPr>
        <w:t>,</w:t>
      </w:r>
      <w:r>
        <w:rPr>
          <w:rFonts w:ascii="Book Antiqua" w:hAnsi="Book Antiqua"/>
          <w:color w:val="000000"/>
          <w:shd w:val="clear" w:color="auto" w:fill="FFFFFF"/>
        </w:rPr>
        <w:t xml:space="preserve"> the State Party Reporting Guidelines for Economic, Social and Cultural Rights in the African Charter on Human and Peoples Rights; </w:t>
      </w:r>
    </w:p>
    <w:p w:rsidR="006673AC" w:rsidRDefault="006673AC" w:rsidP="006673AC">
      <w:pPr>
        <w:pStyle w:val="NormalWeb"/>
        <w:shd w:val="clear" w:color="auto" w:fill="FFFFFF"/>
        <w:spacing w:before="0" w:beforeAutospacing="0" w:after="0" w:afterAutospacing="0"/>
        <w:jc w:val="both"/>
      </w:pPr>
      <w:r>
        <w:rPr>
          <w:rFonts w:ascii="Book Antiqua" w:hAnsi="Book Antiqua"/>
          <w:b/>
          <w:bCs/>
          <w:color w:val="000000"/>
        </w:rPr>
        <w:t xml:space="preserve">Recalling </w:t>
      </w:r>
      <w:r>
        <w:rPr>
          <w:rFonts w:ascii="Book Antiqua" w:hAnsi="Book Antiqua"/>
          <w:color w:val="000000"/>
        </w:rPr>
        <w:t>the</w:t>
      </w:r>
      <w:r>
        <w:rPr>
          <w:rFonts w:ascii="Book Antiqua" w:hAnsi="Book Antiqua"/>
          <w:b/>
          <w:bCs/>
          <w:color w:val="000000"/>
        </w:rPr>
        <w:t xml:space="preserve"> </w:t>
      </w:r>
      <w:r>
        <w:rPr>
          <w:rFonts w:ascii="Book Antiqua" w:hAnsi="Book Antiqua"/>
          <w:color w:val="000000"/>
        </w:rPr>
        <w:t>Commission’s Resolution ACHPR/Res. 374 (LX) 2017</w:t>
      </w:r>
      <w:r>
        <w:rPr>
          <w:rFonts w:ascii="Calibri" w:hAnsi="Calibri"/>
          <w:b/>
          <w:bCs/>
          <w:color w:val="000000"/>
        </w:rPr>
        <w:t xml:space="preserve"> </w:t>
      </w:r>
      <w:r>
        <w:rPr>
          <w:rFonts w:ascii="Book Antiqua" w:hAnsi="Book Antiqua"/>
          <w:color w:val="000000"/>
        </w:rPr>
        <w:t>on the Right to Food and Food Insecurity in Africa;</w:t>
      </w:r>
    </w:p>
    <w:p w:rsidR="006673AC" w:rsidRDefault="006673AC" w:rsidP="006673AC">
      <w:pPr>
        <w:pStyle w:val="NormalWeb"/>
        <w:shd w:val="clear" w:color="auto" w:fill="FFFFFF"/>
        <w:spacing w:before="0" w:beforeAutospacing="0" w:after="0" w:afterAutospacing="0"/>
        <w:jc w:val="both"/>
      </w:pPr>
      <w:r>
        <w:rPr>
          <w:rFonts w:ascii="Book Antiqua" w:hAnsi="Book Antiqua"/>
          <w:b/>
          <w:bCs/>
          <w:color w:val="000000"/>
        </w:rPr>
        <w:t xml:space="preserve">Cognisant </w:t>
      </w:r>
      <w:r>
        <w:rPr>
          <w:rFonts w:ascii="Book Antiqua" w:hAnsi="Book Antiqua"/>
          <w:color w:val="000000"/>
        </w:rPr>
        <w:t>that, as underscored in the Commission’s jurisprudence SERAC &amp; CESR v Nigeria, the right to food is inherent in the right to life, the right to health and the right to economic, social and cultural development under the African Charter; and that this right is realised when everyone alone or in community with others has physical and economic access at all times to adequate food or means of its procurement and is free from hunger even in times of natural or other disasters;</w:t>
      </w:r>
    </w:p>
    <w:p w:rsidR="006673AC" w:rsidRDefault="006673AC" w:rsidP="006673AC">
      <w:pPr>
        <w:pStyle w:val="NormalWeb"/>
        <w:spacing w:before="0" w:beforeAutospacing="0" w:after="200" w:afterAutospacing="0"/>
        <w:jc w:val="both"/>
      </w:pPr>
      <w:r>
        <w:rPr>
          <w:rFonts w:ascii="Book Antiqua" w:hAnsi="Book Antiqua"/>
          <w:b/>
          <w:bCs/>
          <w:color w:val="000000"/>
        </w:rPr>
        <w:t>Recalling</w:t>
      </w:r>
      <w:r>
        <w:rPr>
          <w:rFonts w:ascii="Book Antiqua" w:hAnsi="Book Antiqua"/>
          <w:color w:val="000000"/>
        </w:rPr>
        <w:t xml:space="preserve"> that food  insecurity  is  a  first  and  overarching  result  of  protracted crises, natural disasters, climate-related shocks, and conflicts;</w:t>
      </w:r>
    </w:p>
    <w:p w:rsidR="006673AC" w:rsidRDefault="006673AC" w:rsidP="006673AC">
      <w:pPr>
        <w:pStyle w:val="NormalWeb"/>
        <w:spacing w:before="0" w:beforeAutospacing="0" w:after="200" w:afterAutospacing="0"/>
        <w:jc w:val="both"/>
      </w:pPr>
      <w:r>
        <w:rPr>
          <w:rFonts w:ascii="Book Antiqua" w:hAnsi="Book Antiqua"/>
          <w:b/>
          <w:bCs/>
          <w:color w:val="000000"/>
        </w:rPr>
        <w:t>Recalling</w:t>
      </w:r>
      <w:r>
        <w:rPr>
          <w:rFonts w:ascii="Book Antiqua" w:hAnsi="Book Antiqua"/>
          <w:color w:val="000000"/>
        </w:rPr>
        <w:t xml:space="preserve"> that in many  African countries,  land  and  water  grabbing,  and the privatisation of natural resources result in forced evictions,  mass  displacement,  food  insecurity,  and  human  rights  abuses;</w:t>
      </w:r>
    </w:p>
    <w:p w:rsidR="006673AC" w:rsidRDefault="006673AC" w:rsidP="006673AC">
      <w:pPr>
        <w:pStyle w:val="NormalWeb"/>
        <w:spacing w:before="0" w:beforeAutospacing="0" w:after="200" w:afterAutospacing="0"/>
        <w:jc w:val="both"/>
      </w:pPr>
      <w:r>
        <w:rPr>
          <w:rFonts w:ascii="Book Antiqua" w:hAnsi="Book Antiqua"/>
          <w:b/>
          <w:bCs/>
          <w:color w:val="000000"/>
        </w:rPr>
        <w:t>Concerned</w:t>
      </w:r>
      <w:r>
        <w:rPr>
          <w:rFonts w:ascii="Book Antiqua" w:hAnsi="Book Antiqua"/>
          <w:color w:val="000000"/>
        </w:rPr>
        <w:t xml:space="preserve"> that, malnutrition which</w:t>
      </w:r>
      <w:r>
        <w:rPr>
          <w:rFonts w:ascii="Book Antiqua" w:hAnsi="Book Antiqua"/>
          <w:color w:val="000000"/>
          <w:sz w:val="28"/>
          <w:szCs w:val="28"/>
        </w:rPr>
        <w:t xml:space="preserve"> </w:t>
      </w:r>
      <w:r>
        <w:rPr>
          <w:rFonts w:ascii="Book Antiqua" w:hAnsi="Book Antiqua"/>
          <w:color w:val="000000"/>
        </w:rPr>
        <w:t>includes conditions such as under-nutrition, micronutrient deficiencies or excess, overweight, obesity and other diet-related non-communicable diseases seriously affects the health and well-being of individuals;</w:t>
      </w:r>
    </w:p>
    <w:p w:rsidR="006673AC" w:rsidRDefault="006673AC" w:rsidP="006673AC">
      <w:pPr>
        <w:pStyle w:val="NormalWeb"/>
        <w:spacing w:before="0" w:beforeAutospacing="0" w:after="200" w:afterAutospacing="0"/>
        <w:jc w:val="both"/>
      </w:pPr>
      <w:r>
        <w:rPr>
          <w:rFonts w:ascii="Book Antiqua" w:hAnsi="Book Antiqua"/>
          <w:b/>
          <w:bCs/>
          <w:color w:val="000000"/>
        </w:rPr>
        <w:t>Concerned</w:t>
      </w:r>
      <w:r>
        <w:rPr>
          <w:rFonts w:ascii="Book Antiqua" w:hAnsi="Book Antiqua"/>
          <w:color w:val="000000"/>
        </w:rPr>
        <w:t xml:space="preserve"> that some parts of Africa are burdened with a high prevalence of undernourishment due to economic and environmental challenges.</w:t>
      </w:r>
    </w:p>
    <w:p w:rsidR="006673AC" w:rsidRDefault="006673AC" w:rsidP="006673AC">
      <w:pPr>
        <w:pStyle w:val="NormalWeb"/>
        <w:spacing w:before="0" w:beforeAutospacing="0" w:after="200" w:afterAutospacing="0"/>
        <w:jc w:val="both"/>
      </w:pPr>
      <w:r>
        <w:rPr>
          <w:rFonts w:ascii="Book Antiqua" w:hAnsi="Book Antiqua"/>
          <w:b/>
          <w:bCs/>
          <w:color w:val="000000"/>
        </w:rPr>
        <w:t>Concerned</w:t>
      </w:r>
      <w:r>
        <w:rPr>
          <w:rFonts w:ascii="Book Antiqua" w:hAnsi="Book Antiqua"/>
          <w:color w:val="000000"/>
        </w:rPr>
        <w:t xml:space="preserve"> that most prisoners do not receive adequate food to meet their energy and nutrient requirements.</w:t>
      </w:r>
    </w:p>
    <w:p w:rsidR="006673AC" w:rsidRDefault="006673AC" w:rsidP="006673AC">
      <w:pPr>
        <w:pStyle w:val="NormalWeb"/>
        <w:spacing w:before="0" w:beforeAutospacing="0" w:after="200" w:afterAutospacing="0"/>
        <w:jc w:val="both"/>
      </w:pPr>
      <w:r>
        <w:rPr>
          <w:rFonts w:ascii="Book Antiqua" w:hAnsi="Book Antiqua"/>
          <w:b/>
          <w:bCs/>
          <w:color w:val="000000"/>
        </w:rPr>
        <w:t>Concerned</w:t>
      </w:r>
      <w:r>
        <w:rPr>
          <w:rFonts w:ascii="Book Antiqua" w:hAnsi="Book Antiqua"/>
          <w:color w:val="000000"/>
        </w:rPr>
        <w:t xml:space="preserve"> that the gradual advent of genetically modified organisms has associated risks which may threaten sustainable food production and locally-produced food.</w:t>
      </w:r>
    </w:p>
    <w:p w:rsidR="006673AC" w:rsidRDefault="006673AC" w:rsidP="006673AC">
      <w:pPr>
        <w:pStyle w:val="NormalWeb"/>
        <w:spacing w:before="0" w:beforeAutospacing="0" w:after="200" w:afterAutospacing="0"/>
        <w:jc w:val="both"/>
      </w:pPr>
      <w:r>
        <w:rPr>
          <w:rFonts w:ascii="Book Antiqua" w:hAnsi="Book Antiqua"/>
          <w:b/>
          <w:bCs/>
          <w:color w:val="000000"/>
        </w:rPr>
        <w:lastRenderedPageBreak/>
        <w:t>Recognising</w:t>
      </w:r>
      <w:r>
        <w:rPr>
          <w:rFonts w:ascii="Book Antiqua" w:hAnsi="Book Antiqua"/>
          <w:color w:val="000000"/>
        </w:rPr>
        <w:t xml:space="preserve"> that women play a crucial role  in  maintaining  and  or  improving  rural  livelihoods  and  strengthening  rural  communities, but  they are  more likely to live in poverty and be affected by malnutrition;</w:t>
      </w:r>
    </w:p>
    <w:p w:rsidR="006673AC" w:rsidRDefault="006673AC" w:rsidP="006673AC">
      <w:pPr>
        <w:pStyle w:val="NormalWeb"/>
        <w:spacing w:before="0" w:beforeAutospacing="0" w:after="200" w:afterAutospacing="0"/>
        <w:jc w:val="both"/>
      </w:pPr>
      <w:r>
        <w:rPr>
          <w:rFonts w:ascii="Book Antiqua" w:hAnsi="Book Antiqua"/>
          <w:b/>
          <w:bCs/>
          <w:color w:val="000000"/>
        </w:rPr>
        <w:t xml:space="preserve">The Commission </w:t>
      </w:r>
      <w:r>
        <w:rPr>
          <w:rFonts w:ascii="Book Antiqua" w:hAnsi="Book Antiqua"/>
          <w:b/>
          <w:bCs/>
          <w:color w:val="000000"/>
          <w:shd w:val="clear" w:color="auto" w:fill="FFFFFF"/>
        </w:rPr>
        <w:t>calls on States Parties to:</w:t>
      </w:r>
    </w:p>
    <w:p w:rsidR="006673AC" w:rsidRDefault="006673AC" w:rsidP="006673AC">
      <w:pPr>
        <w:pStyle w:val="NormalWeb"/>
        <w:numPr>
          <w:ilvl w:val="0"/>
          <w:numId w:val="1"/>
        </w:numPr>
        <w:shd w:val="clear" w:color="auto" w:fill="FFFFFF"/>
        <w:spacing w:before="0" w:beforeAutospacing="0" w:after="0" w:afterAutospacing="0"/>
        <w:jc w:val="both"/>
        <w:textAlignment w:val="baseline"/>
        <w:rPr>
          <w:rFonts w:ascii="Book Antiqua" w:hAnsi="Book Antiqua"/>
          <w:color w:val="000000"/>
        </w:rPr>
      </w:pPr>
      <w:r>
        <w:rPr>
          <w:rFonts w:ascii="Book Antiqua" w:hAnsi="Book Antiqua"/>
          <w:color w:val="000000"/>
          <w:shd w:val="clear" w:color="auto" w:fill="FFFFFF"/>
        </w:rPr>
        <w:t>Take appropriate policy, institutional and</w:t>
      </w:r>
      <w:r>
        <w:rPr>
          <w:rFonts w:ascii="Book Antiqua" w:hAnsi="Book Antiqua"/>
          <w:color w:val="000000"/>
          <w:shd w:val="clear" w:color="auto" w:fill="FBF7F7"/>
        </w:rPr>
        <w:t xml:space="preserve"> </w:t>
      </w:r>
      <w:r>
        <w:rPr>
          <w:rFonts w:ascii="Book Antiqua" w:hAnsi="Book Antiqua"/>
          <w:color w:val="000000"/>
          <w:shd w:val="clear" w:color="auto" w:fill="FFFFFF"/>
        </w:rPr>
        <w:t>legislative measures to ensure the full enjoyment of the right to food which includes constantly accessible and quality food that meets the requirement of nutrition and cultural acceptability;</w:t>
      </w:r>
    </w:p>
    <w:p w:rsidR="006673AC" w:rsidRDefault="006673AC" w:rsidP="006673AC">
      <w:pPr>
        <w:pStyle w:val="NormalWeb"/>
        <w:numPr>
          <w:ilvl w:val="0"/>
          <w:numId w:val="1"/>
        </w:numPr>
        <w:spacing w:before="0" w:beforeAutospacing="0" w:after="0" w:afterAutospacing="0"/>
        <w:jc w:val="both"/>
        <w:textAlignment w:val="baseline"/>
        <w:rPr>
          <w:rFonts w:ascii="Book Antiqua" w:hAnsi="Book Antiqua"/>
          <w:color w:val="000000"/>
        </w:rPr>
      </w:pPr>
      <w:r>
        <w:rPr>
          <w:rFonts w:ascii="Book Antiqua" w:hAnsi="Book Antiqua"/>
          <w:color w:val="000000"/>
        </w:rPr>
        <w:t>Promote  and  strengthen  multi-sector and gender inclusive  platforms  at  the  national  level,  with  the  full  and  meaningful  participation  of small-scale food producers, farmers, livestock farmers and fishermen  to  develop,  implement, and monitor policies towards the realisation of the right to food and nutrition;</w:t>
      </w:r>
    </w:p>
    <w:p w:rsidR="006673AC" w:rsidRDefault="006673AC" w:rsidP="006673AC">
      <w:pPr>
        <w:pStyle w:val="NormalWeb"/>
        <w:numPr>
          <w:ilvl w:val="0"/>
          <w:numId w:val="1"/>
        </w:numPr>
        <w:spacing w:before="0" w:beforeAutospacing="0" w:after="0" w:afterAutospacing="0"/>
        <w:jc w:val="both"/>
        <w:textAlignment w:val="baseline"/>
        <w:rPr>
          <w:rFonts w:ascii="Book Antiqua" w:hAnsi="Book Antiqua"/>
          <w:color w:val="000000"/>
        </w:rPr>
      </w:pPr>
      <w:r>
        <w:rPr>
          <w:rFonts w:ascii="Book Antiqua" w:hAnsi="Book Antiqua"/>
          <w:color w:val="000000"/>
        </w:rPr>
        <w:t> Design  policy  responses  and  interventions in situations of protracted crisis, conflicts and natural disasters to protect vulnerable, disadvantaged and marginalised groups in order to realise their right to food and nutrition;</w:t>
      </w:r>
    </w:p>
    <w:p w:rsidR="006673AC" w:rsidRDefault="006673AC" w:rsidP="006673AC">
      <w:pPr>
        <w:pStyle w:val="NormalWeb"/>
        <w:numPr>
          <w:ilvl w:val="0"/>
          <w:numId w:val="1"/>
        </w:numPr>
        <w:spacing w:before="0" w:beforeAutospacing="0" w:after="0" w:afterAutospacing="0"/>
        <w:jc w:val="both"/>
        <w:textAlignment w:val="baseline"/>
        <w:rPr>
          <w:rFonts w:ascii="Book Antiqua" w:hAnsi="Book Antiqua"/>
          <w:color w:val="000000"/>
        </w:rPr>
      </w:pPr>
      <w:r>
        <w:rPr>
          <w:rFonts w:ascii="Book Antiqua" w:hAnsi="Book Antiqua"/>
          <w:color w:val="000000"/>
        </w:rPr>
        <w:t>End the practice of resource grabbing affecting farming,  fisheries,  forests,  and  pastoralist  communities,  and move  towards  an  equitable  management  of  these  resources  (natural,  material and financial)  by  strengthening community rights, benefit sharing policies, and enacting strong and binding legislations;</w:t>
      </w:r>
    </w:p>
    <w:p w:rsidR="006673AC" w:rsidRDefault="006673AC" w:rsidP="006673AC">
      <w:pPr>
        <w:pStyle w:val="NormalWeb"/>
        <w:numPr>
          <w:ilvl w:val="0"/>
          <w:numId w:val="1"/>
        </w:numPr>
        <w:spacing w:before="0" w:beforeAutospacing="0" w:after="0" w:afterAutospacing="0"/>
        <w:jc w:val="both"/>
        <w:textAlignment w:val="baseline"/>
        <w:rPr>
          <w:rFonts w:ascii="Book Antiqua" w:hAnsi="Book Antiqua"/>
          <w:color w:val="000000"/>
        </w:rPr>
      </w:pPr>
      <w:r>
        <w:rPr>
          <w:rFonts w:ascii="Book Antiqua" w:hAnsi="Book Antiqua"/>
          <w:color w:val="000000"/>
        </w:rPr>
        <w:t>Ensure that prisoners have access to adequate food for them to fully enjoy their fundamental rights to physical and mental health;</w:t>
      </w:r>
      <w:r>
        <w:rPr>
          <w:rFonts w:ascii="Book Antiqua" w:hAnsi="Book Antiqua"/>
          <w:color w:val="000000"/>
          <w:shd w:val="clear" w:color="auto" w:fill="FFFFFF"/>
        </w:rPr>
        <w:t> </w:t>
      </w:r>
    </w:p>
    <w:p w:rsidR="006673AC" w:rsidRDefault="006673AC" w:rsidP="006673AC">
      <w:pPr>
        <w:pStyle w:val="NormalWeb"/>
        <w:numPr>
          <w:ilvl w:val="0"/>
          <w:numId w:val="1"/>
        </w:numPr>
        <w:shd w:val="clear" w:color="auto" w:fill="FFFFFF"/>
        <w:spacing w:before="0" w:beforeAutospacing="0" w:after="0" w:afterAutospacing="0"/>
        <w:jc w:val="both"/>
        <w:textAlignment w:val="baseline"/>
        <w:rPr>
          <w:rFonts w:ascii="Book Antiqua" w:hAnsi="Book Antiqua"/>
          <w:color w:val="000000"/>
        </w:rPr>
      </w:pPr>
      <w:r>
        <w:rPr>
          <w:rFonts w:ascii="Book Antiqua" w:hAnsi="Book Antiqua"/>
          <w:color w:val="000000"/>
          <w:shd w:val="clear" w:color="auto" w:fill="FFFFFF"/>
        </w:rPr>
        <w:t>Foster local and organic food production and consumption, including by banning the use of genetically modified organisms; and</w:t>
      </w:r>
    </w:p>
    <w:p w:rsidR="006673AC" w:rsidRDefault="006673AC" w:rsidP="006673AC">
      <w:pPr>
        <w:pStyle w:val="NormalWeb"/>
        <w:numPr>
          <w:ilvl w:val="0"/>
          <w:numId w:val="1"/>
        </w:numPr>
        <w:spacing w:before="0" w:beforeAutospacing="0" w:after="0" w:afterAutospacing="0"/>
        <w:jc w:val="both"/>
        <w:textAlignment w:val="baseline"/>
        <w:rPr>
          <w:rFonts w:ascii="Book Antiqua" w:hAnsi="Book Antiqua"/>
          <w:color w:val="000000"/>
        </w:rPr>
      </w:pPr>
      <w:r>
        <w:rPr>
          <w:rFonts w:ascii="Book Antiqua" w:hAnsi="Book Antiqua"/>
          <w:color w:val="000000"/>
          <w:shd w:val="clear" w:color="auto" w:fill="FFFFFF"/>
        </w:rPr>
        <w:t xml:space="preserve">Strictly regulate the importation of foreign food items as well as </w:t>
      </w:r>
      <w:r>
        <w:rPr>
          <w:rFonts w:ascii="Book Antiqua" w:hAnsi="Book Antiqua"/>
          <w:color w:val="000000"/>
        </w:rPr>
        <w:t>the promotion and marketing of industrialised and highly processed foods.</w:t>
      </w:r>
    </w:p>
    <w:p w:rsidR="006673AC" w:rsidRDefault="006673AC" w:rsidP="006673AC">
      <w:pPr>
        <w:pStyle w:val="NormalWeb"/>
        <w:spacing w:before="0" w:beforeAutospacing="0" w:after="200" w:afterAutospacing="0"/>
        <w:jc w:val="both"/>
      </w:pPr>
      <w:r>
        <w:rPr>
          <w:rFonts w:ascii="Book Antiqua" w:hAnsi="Book Antiqua"/>
          <w:b/>
          <w:bCs/>
          <w:color w:val="000000"/>
        </w:rPr>
        <w:t>Done in Banjul, The Gambia, 10 November 2019</w:t>
      </w:r>
    </w:p>
    <w:p w:rsidR="006F7B9B" w:rsidRDefault="006F7B9B">
      <w:bookmarkStart w:id="0" w:name="_GoBack"/>
      <w:bookmarkEnd w:id="0"/>
    </w:p>
    <w:sectPr w:rsidR="006F7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A3882"/>
    <w:multiLevelType w:val="multilevel"/>
    <w:tmpl w:val="1090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AC"/>
    <w:rsid w:val="00043C12"/>
    <w:rsid w:val="00191085"/>
    <w:rsid w:val="001D70CE"/>
    <w:rsid w:val="00235948"/>
    <w:rsid w:val="005977CF"/>
    <w:rsid w:val="005A30D3"/>
    <w:rsid w:val="006673AC"/>
    <w:rsid w:val="006815EF"/>
    <w:rsid w:val="006F7B9B"/>
    <w:rsid w:val="00834F5D"/>
    <w:rsid w:val="0096189E"/>
    <w:rsid w:val="00D71E2D"/>
    <w:rsid w:val="00E2145E"/>
    <w:rsid w:val="00EA48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C01B26-C98A-4A1B-9E95-DC80519A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3A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8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2021-10-27T19:00:00Z</dcterms:created>
  <dcterms:modified xsi:type="dcterms:W3CDTF">2021-10-27T19:01:00Z</dcterms:modified>
</cp:coreProperties>
</file>