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600" w:line="240" w:lineRule="auto"/>
        <w:ind w:left="0" w:right="0" w:firstLine="0"/>
        <w:jc w:val="center"/>
        <w:rPr>
          <w:sz w:val="26"/>
          <w:szCs w:val="26"/>
        </w:rPr>
      </w:pPr>
      <w:r>
        <w:rPr>
          <w:color w:val="000000"/>
          <w:spacing w:val="0"/>
          <w:w w:val="100"/>
          <w:position w:val="0"/>
          <w:sz w:val="26"/>
          <w:szCs w:val="26"/>
          <w:u w:val="single"/>
        </w:rPr>
        <w:t>DECISION ON THE REPORT OF THE SECRETARY</w:t>
        <w:br/>
        <w:t>GENERAL ON THE FINANCIAL SITUATION OF THE</w:t>
        <w:br/>
        <w:t>ORGANIZATION AS AT 31 MAY 2001</w:t>
      </w:r>
    </w:p>
    <w:p>
      <w:pPr>
        <w:pStyle w:val="Style2"/>
        <w:keepNext w:val="0"/>
        <w:keepLines w:val="0"/>
        <w:widowControl w:val="0"/>
        <w:shd w:val="clear" w:color="auto" w:fill="auto"/>
        <w:bidi w:val="0"/>
        <w:spacing w:before="0" w:after="300" w:line="240" w:lineRule="auto"/>
        <w:ind w:left="0" w:right="0" w:firstLine="0"/>
        <w:jc w:val="left"/>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1423" w:val="left"/>
        </w:tabs>
        <w:bidi w:val="0"/>
        <w:spacing w:before="0" w:after="300" w:line="240" w:lineRule="auto"/>
        <w:ind w:left="0" w:right="0" w:firstLine="720"/>
        <w:jc w:val="left"/>
        <w:rPr>
          <w:sz w:val="26"/>
          <w:szCs w:val="26"/>
        </w:rPr>
      </w:pPr>
      <w:bookmarkStart w:id="0" w:name="bookmark0"/>
      <w:bookmarkEnd w:id="0"/>
      <w:r>
        <w:rPr>
          <w:color w:val="000000"/>
          <w:spacing w:val="0"/>
          <w:w w:val="100"/>
          <w:position w:val="0"/>
          <w:sz w:val="26"/>
          <w:szCs w:val="26"/>
        </w:rPr>
        <w:t>TAKES NOTE of the Report;</w:t>
      </w:r>
    </w:p>
    <w:p>
      <w:pPr>
        <w:pStyle w:val="Style2"/>
        <w:keepNext w:val="0"/>
        <w:keepLines w:val="0"/>
        <w:widowControl w:val="0"/>
        <w:numPr>
          <w:ilvl w:val="0"/>
          <w:numId w:val="1"/>
        </w:numPr>
        <w:shd w:val="clear" w:color="auto" w:fill="auto"/>
        <w:tabs>
          <w:tab w:pos="1423" w:val="left"/>
        </w:tabs>
        <w:bidi w:val="0"/>
        <w:spacing w:before="0" w:after="300" w:line="240" w:lineRule="auto"/>
        <w:ind w:left="1420" w:right="0" w:hanging="700"/>
        <w:jc w:val="both"/>
        <w:rPr>
          <w:sz w:val="26"/>
          <w:szCs w:val="26"/>
        </w:rPr>
      </w:pPr>
      <w:bookmarkStart w:id="1" w:name="bookmark1"/>
      <w:bookmarkEnd w:id="1"/>
      <w:r>
        <w:rPr>
          <w:color w:val="000000"/>
          <w:spacing w:val="0"/>
          <w:w w:val="100"/>
          <w:position w:val="0"/>
          <w:sz w:val="26"/>
          <w:szCs w:val="26"/>
        </w:rPr>
        <w:t>COMMENDS all those Member States, which are up to date, having fully paid up all their assessed contributions to the OAU Regular Budget;</w:t>
      </w:r>
    </w:p>
    <w:p>
      <w:pPr>
        <w:pStyle w:val="Style2"/>
        <w:keepNext w:val="0"/>
        <w:keepLines w:val="0"/>
        <w:widowControl w:val="0"/>
        <w:numPr>
          <w:ilvl w:val="0"/>
          <w:numId w:val="1"/>
        </w:numPr>
        <w:shd w:val="clear" w:color="auto" w:fill="auto"/>
        <w:tabs>
          <w:tab w:pos="1423" w:val="left"/>
        </w:tabs>
        <w:bidi w:val="0"/>
        <w:spacing w:before="0" w:after="300" w:line="240" w:lineRule="auto"/>
        <w:ind w:left="1420" w:right="0" w:hanging="700"/>
        <w:jc w:val="both"/>
        <w:rPr>
          <w:sz w:val="26"/>
          <w:szCs w:val="26"/>
        </w:rPr>
      </w:pPr>
      <w:bookmarkStart w:id="2" w:name="bookmark2"/>
      <w:bookmarkEnd w:id="2"/>
      <w:r>
        <w:rPr>
          <w:color w:val="000000"/>
          <w:spacing w:val="0"/>
          <w:w w:val="100"/>
          <w:position w:val="0"/>
          <w:sz w:val="26"/>
          <w:szCs w:val="26"/>
        </w:rPr>
        <w:t>EXPRESSES SERIOUS CONCERN about the slow trend in settling outstanding financial obligations by some Member States, especially those which continue to accumulate arrears of contribution over several years;</w:t>
      </w:r>
    </w:p>
    <w:p>
      <w:pPr>
        <w:pStyle w:val="Style2"/>
        <w:keepNext w:val="0"/>
        <w:keepLines w:val="0"/>
        <w:widowControl w:val="0"/>
        <w:numPr>
          <w:ilvl w:val="0"/>
          <w:numId w:val="1"/>
        </w:numPr>
        <w:shd w:val="clear" w:color="auto" w:fill="auto"/>
        <w:tabs>
          <w:tab w:pos="1423" w:val="left"/>
        </w:tabs>
        <w:bidi w:val="0"/>
        <w:spacing w:before="0" w:after="300" w:line="240" w:lineRule="auto"/>
        <w:ind w:left="1420" w:right="0" w:hanging="700"/>
        <w:jc w:val="both"/>
        <w:rPr>
          <w:sz w:val="26"/>
          <w:szCs w:val="26"/>
        </w:rPr>
      </w:pPr>
      <w:bookmarkStart w:id="3" w:name="bookmark3"/>
      <w:bookmarkEnd w:id="3"/>
      <w:r>
        <w:rPr>
          <w:color w:val="000000"/>
          <w:spacing w:val="0"/>
          <w:w w:val="100"/>
          <w:position w:val="0"/>
          <w:sz w:val="26"/>
          <w:szCs w:val="26"/>
        </w:rPr>
        <w:t>APPEALS to all Member States with arrears of contributions to settle regularly and timely their financial obligations so as to endow the Organization with requisite resources to enable it meet its increasing challenges and discharge its functions under the best possible condition.</w:t>
      </w:r>
    </w:p>
    <w:sectPr>
      <w:footnotePr>
        <w:pos w:val="pageBottom"/>
        <w:numFmt w:val="decimal"/>
        <w:numRestart w:val="continuous"/>
      </w:footnotePr>
      <w:pgSz w:w="11909" w:h="16840"/>
      <w:pgMar w:top="2547" w:right="1238" w:bottom="2547" w:left="124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