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80" w:line="240" w:lineRule="auto"/>
        <w:ind w:left="0" w:right="0" w:firstLine="0"/>
        <w:jc w:val="center"/>
        <w:rPr>
          <w:sz w:val="26"/>
          <w:szCs w:val="26"/>
        </w:rPr>
      </w:pPr>
      <w:r>
        <w:rPr>
          <w:color w:val="000000"/>
          <w:spacing w:val="0"/>
          <w:w w:val="100"/>
          <w:position w:val="0"/>
          <w:sz w:val="26"/>
          <w:szCs w:val="26"/>
          <w:u w:val="single"/>
        </w:rPr>
        <w:t>DECISION ON THE REPORT OF THE SECRETARY GENERAL</w:t>
        <w:br/>
        <w:t>ON THE SIXTEENTH ORDINARY SESSION OF THE</w:t>
        <w:br/>
        <w:t>COMMITTEE ON CONTRIBUTIONS</w:t>
      </w:r>
    </w:p>
    <w:p>
      <w:pPr>
        <w:pStyle w:val="Style2"/>
        <w:keepNext w:val="0"/>
        <w:keepLines w:val="0"/>
        <w:widowControl w:val="0"/>
        <w:shd w:val="clear" w:color="auto" w:fill="auto"/>
        <w:bidi w:val="0"/>
        <w:spacing w:before="0" w:after="300" w:line="240"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17" w:val="left"/>
        </w:tabs>
        <w:bidi w:val="0"/>
        <w:spacing w:before="0" w:after="300" w:line="240" w:lineRule="auto"/>
        <w:ind w:left="0" w:right="0" w:firstLine="700"/>
        <w:jc w:val="left"/>
        <w:rPr>
          <w:sz w:val="26"/>
          <w:szCs w:val="26"/>
        </w:rPr>
      </w:pPr>
      <w:bookmarkStart w:id="0" w:name="bookmark0"/>
      <w:bookmarkEnd w:id="0"/>
      <w:r>
        <w:rPr>
          <w:color w:val="000000"/>
          <w:spacing w:val="0"/>
          <w:w w:val="100"/>
          <w:position w:val="0"/>
          <w:sz w:val="26"/>
          <w:szCs w:val="26"/>
        </w:rPr>
        <w:t>TAKES NOTE of the Report;</w:t>
      </w:r>
    </w:p>
    <w:p>
      <w:pPr>
        <w:pStyle w:val="Style2"/>
        <w:keepNext w:val="0"/>
        <w:keepLines w:val="0"/>
        <w:widowControl w:val="0"/>
        <w:numPr>
          <w:ilvl w:val="0"/>
          <w:numId w:val="1"/>
        </w:numPr>
        <w:shd w:val="clear" w:color="auto" w:fill="auto"/>
        <w:tabs>
          <w:tab w:pos="1417" w:val="left"/>
        </w:tabs>
        <w:bidi w:val="0"/>
        <w:spacing w:before="0" w:after="300" w:line="240" w:lineRule="auto"/>
        <w:ind w:left="1420" w:right="0" w:hanging="700"/>
        <w:jc w:val="both"/>
        <w:rPr>
          <w:sz w:val="26"/>
          <w:szCs w:val="26"/>
        </w:rPr>
      </w:pPr>
      <w:bookmarkStart w:id="1" w:name="bookmark1"/>
      <w:bookmarkEnd w:id="1"/>
      <w:r>
        <w:rPr>
          <w:color w:val="000000"/>
          <w:spacing w:val="0"/>
          <w:w w:val="100"/>
          <w:position w:val="0"/>
          <w:sz w:val="26"/>
          <w:szCs w:val="26"/>
        </w:rPr>
        <w:t>COMMENDS the work of the Committee and URGES it to continue to encourage Member States to honour their financial obligations;</w:t>
      </w:r>
    </w:p>
    <w:p>
      <w:pPr>
        <w:pStyle w:val="Style2"/>
        <w:keepNext w:val="0"/>
        <w:keepLines w:val="0"/>
        <w:widowControl w:val="0"/>
        <w:numPr>
          <w:ilvl w:val="0"/>
          <w:numId w:val="1"/>
        </w:numPr>
        <w:shd w:val="clear" w:color="auto" w:fill="auto"/>
        <w:tabs>
          <w:tab w:pos="1417" w:val="left"/>
        </w:tabs>
        <w:bidi w:val="0"/>
        <w:spacing w:before="0" w:after="300" w:line="240" w:lineRule="auto"/>
        <w:ind w:left="1420" w:right="0" w:hanging="700"/>
        <w:jc w:val="both"/>
        <w:rPr>
          <w:sz w:val="26"/>
          <w:szCs w:val="26"/>
        </w:rPr>
      </w:pPr>
      <w:bookmarkStart w:id="2" w:name="bookmark2"/>
      <w:bookmarkEnd w:id="2"/>
      <w:r>
        <w:rPr>
          <w:color w:val="000000"/>
          <w:spacing w:val="0"/>
          <w:w w:val="100"/>
          <w:position w:val="0"/>
          <w:sz w:val="26"/>
          <w:szCs w:val="26"/>
        </w:rPr>
        <w:t>EXPRESSES its serious concern about the increasing arrears of contribution which now stands at US $41,414,981.65, thus undermining the capacity of the Secretariat to carry out approved programmes and activities;</w:t>
      </w:r>
    </w:p>
    <w:p>
      <w:pPr>
        <w:pStyle w:val="Style2"/>
        <w:keepNext w:val="0"/>
        <w:keepLines w:val="0"/>
        <w:widowControl w:val="0"/>
        <w:numPr>
          <w:ilvl w:val="0"/>
          <w:numId w:val="1"/>
        </w:numPr>
        <w:shd w:val="clear" w:color="auto" w:fill="auto"/>
        <w:tabs>
          <w:tab w:pos="1417" w:val="left"/>
        </w:tabs>
        <w:bidi w:val="0"/>
        <w:spacing w:before="0" w:after="300" w:line="240" w:lineRule="auto"/>
        <w:ind w:left="0" w:right="0" w:firstLine="700"/>
        <w:jc w:val="left"/>
        <w:rPr>
          <w:sz w:val="26"/>
          <w:szCs w:val="26"/>
        </w:rPr>
      </w:pPr>
      <w:bookmarkStart w:id="3" w:name="bookmark3"/>
      <w:bookmarkEnd w:id="3"/>
      <w:r>
        <w:rPr>
          <w:color w:val="000000"/>
          <w:spacing w:val="0"/>
          <w:w w:val="100"/>
          <w:position w:val="0"/>
          <w:sz w:val="26"/>
          <w:szCs w:val="26"/>
        </w:rPr>
        <w:t>DECIDES:</w:t>
      </w:r>
    </w:p>
    <w:p>
      <w:pPr>
        <w:pStyle w:val="Style2"/>
        <w:keepNext w:val="0"/>
        <w:keepLines w:val="0"/>
        <w:widowControl w:val="0"/>
        <w:numPr>
          <w:ilvl w:val="0"/>
          <w:numId w:val="3"/>
        </w:numPr>
        <w:shd w:val="clear" w:color="auto" w:fill="auto"/>
        <w:tabs>
          <w:tab w:pos="2135" w:val="left"/>
        </w:tabs>
        <w:bidi w:val="0"/>
        <w:spacing w:before="0" w:after="300" w:line="240" w:lineRule="auto"/>
        <w:ind w:left="2140" w:right="0" w:hanging="720"/>
        <w:jc w:val="both"/>
        <w:rPr>
          <w:sz w:val="26"/>
          <w:szCs w:val="26"/>
        </w:rPr>
      </w:pPr>
      <w:bookmarkStart w:id="4" w:name="bookmark4"/>
      <w:bookmarkEnd w:id="4"/>
      <w:r>
        <w:rPr>
          <w:color w:val="000000"/>
          <w:spacing w:val="0"/>
          <w:w w:val="100"/>
          <w:position w:val="0"/>
          <w:sz w:val="26"/>
          <w:szCs w:val="26"/>
        </w:rPr>
        <w:t>to grant temporary and exceptional exemption from sanctions until the opening of the Seventy-fifth Ordinary Session of the Council of Ministers to Somalia on condition that it submits a Rescheduling Plan and starts paying its assessed contributions in keeping with resolution CM/Res.1279 (LIT) paragraph 2(d);</w:t>
      </w:r>
    </w:p>
    <w:p>
      <w:pPr>
        <w:pStyle w:val="Style2"/>
        <w:keepNext w:val="0"/>
        <w:keepLines w:val="0"/>
        <w:widowControl w:val="0"/>
        <w:numPr>
          <w:ilvl w:val="0"/>
          <w:numId w:val="3"/>
        </w:numPr>
        <w:shd w:val="clear" w:color="auto" w:fill="auto"/>
        <w:tabs>
          <w:tab w:pos="2135" w:val="left"/>
        </w:tabs>
        <w:bidi w:val="0"/>
        <w:spacing w:before="0" w:after="300" w:line="240" w:lineRule="auto"/>
        <w:ind w:left="2140" w:right="0" w:hanging="720"/>
        <w:jc w:val="both"/>
        <w:rPr>
          <w:sz w:val="26"/>
          <w:szCs w:val="26"/>
        </w:rPr>
      </w:pPr>
      <w:bookmarkStart w:id="5" w:name="bookmark5"/>
      <w:bookmarkEnd w:id="5"/>
      <w:r>
        <w:rPr>
          <w:color w:val="000000"/>
          <w:spacing w:val="0"/>
          <w:w w:val="100"/>
          <w:position w:val="0"/>
          <w:sz w:val="26"/>
          <w:szCs w:val="26"/>
        </w:rPr>
        <w:t>to also grant temporary exemption from sanctions to the following Member States which have paid 30% of their arrears of contribution until the opening of the Seventy</w:t>
        <w:softHyphen/>
        <w:t>fifth Ordinary Session of the Council of Ministers: Cape Verde, Central African Republic, The Gambia, Guinea Bissau, Niger and Sierra Leone;</w:t>
      </w:r>
    </w:p>
    <w:p>
      <w:pPr>
        <w:pStyle w:val="Style2"/>
        <w:keepNext w:val="0"/>
        <w:keepLines w:val="0"/>
        <w:widowControl w:val="0"/>
        <w:numPr>
          <w:ilvl w:val="0"/>
          <w:numId w:val="3"/>
        </w:numPr>
        <w:shd w:val="clear" w:color="auto" w:fill="auto"/>
        <w:tabs>
          <w:tab w:pos="2135" w:val="left"/>
        </w:tabs>
        <w:bidi w:val="0"/>
        <w:spacing w:before="0" w:after="300" w:line="240" w:lineRule="auto"/>
        <w:ind w:left="2140" w:right="0" w:hanging="720"/>
        <w:jc w:val="both"/>
        <w:rPr>
          <w:sz w:val="26"/>
          <w:szCs w:val="26"/>
        </w:rPr>
      </w:pPr>
      <w:bookmarkStart w:id="6" w:name="bookmark6"/>
      <w:bookmarkEnd w:id="6"/>
      <w:r>
        <w:rPr>
          <w:color w:val="000000"/>
          <w:spacing w:val="0"/>
          <w:w w:val="100"/>
          <w:position w:val="0"/>
          <w:sz w:val="26"/>
          <w:szCs w:val="26"/>
        </w:rPr>
        <w:t>that the sanctions imposed on the following Member States be maintained, namely, Democratic Republic of Congo, Islamic Federal Republic of the Comoros, Liberia, Mauritania, Sao Tome &amp; Principe, and Seychelles;</w:t>
      </w:r>
    </w:p>
    <w:p>
      <w:pPr>
        <w:pStyle w:val="Style2"/>
        <w:keepNext w:val="0"/>
        <w:keepLines w:val="0"/>
        <w:widowControl w:val="0"/>
        <w:numPr>
          <w:ilvl w:val="0"/>
          <w:numId w:val="3"/>
        </w:numPr>
        <w:shd w:val="clear" w:color="auto" w:fill="auto"/>
        <w:tabs>
          <w:tab w:pos="2142" w:val="left"/>
        </w:tabs>
        <w:bidi w:val="0"/>
        <w:spacing w:before="0" w:after="300" w:line="240" w:lineRule="auto"/>
        <w:ind w:left="2140" w:right="0" w:hanging="720"/>
        <w:jc w:val="both"/>
        <w:rPr>
          <w:sz w:val="26"/>
          <w:szCs w:val="26"/>
        </w:rPr>
      </w:pPr>
      <w:bookmarkStart w:id="7" w:name="bookmark7"/>
      <w:bookmarkEnd w:id="7"/>
      <w:r>
        <w:rPr>
          <w:color w:val="000000"/>
          <w:spacing w:val="0"/>
          <w:w w:val="100"/>
          <w:position w:val="0"/>
          <w:sz w:val="26"/>
          <w:szCs w:val="26"/>
        </w:rPr>
        <w:t>that all defaulting Member States which present Rescheduling Plans, should ensure that apart from honouring their plans they also pay their assessed contributions to the regular budget;</w:t>
      </w:r>
    </w:p>
    <w:p>
      <w:pPr>
        <w:pStyle w:val="Style2"/>
        <w:keepNext w:val="0"/>
        <w:keepLines w:val="0"/>
        <w:widowControl w:val="0"/>
        <w:numPr>
          <w:ilvl w:val="0"/>
          <w:numId w:val="3"/>
        </w:numPr>
        <w:shd w:val="clear" w:color="auto" w:fill="auto"/>
        <w:tabs>
          <w:tab w:pos="2142" w:val="left"/>
        </w:tabs>
        <w:bidi w:val="0"/>
        <w:spacing w:before="0" w:after="300" w:line="240" w:lineRule="auto"/>
        <w:ind w:left="2140" w:right="0" w:hanging="720"/>
        <w:jc w:val="both"/>
        <w:rPr>
          <w:sz w:val="26"/>
          <w:szCs w:val="26"/>
        </w:rPr>
      </w:pPr>
      <w:bookmarkStart w:id="8" w:name="bookmark8"/>
      <w:bookmarkEnd w:id="8"/>
      <w:r>
        <w:rPr>
          <w:color w:val="000000"/>
          <w:spacing w:val="0"/>
          <w:w w:val="100"/>
          <w:position w:val="0"/>
          <w:sz w:val="26"/>
          <w:szCs w:val="26"/>
        </w:rPr>
        <w:t>that any Member State in arrears, but which pays 30% of the outstanding amount will be considered for temporary and exceptional exemption for a period up-to the opening of the 75</w:t>
      </w:r>
      <w:r>
        <w:rPr>
          <w:color w:val="000000"/>
          <w:spacing w:val="0"/>
          <w:w w:val="100"/>
          <w:position w:val="0"/>
          <w:sz w:val="26"/>
          <w:szCs w:val="26"/>
          <w:vertAlign w:val="superscript"/>
        </w:rPr>
        <w:t>th</w:t>
      </w:r>
      <w:r>
        <w:rPr>
          <w:color w:val="000000"/>
          <w:spacing w:val="0"/>
          <w:w w:val="100"/>
          <w:position w:val="0"/>
          <w:sz w:val="26"/>
          <w:szCs w:val="26"/>
        </w:rPr>
        <w:t xml:space="preserve"> Ordinary Session of Council, provided it also honours its financial obligations to the current budget;</w:t>
      </w:r>
    </w:p>
    <w:p>
      <w:pPr>
        <w:pStyle w:val="Style2"/>
        <w:keepNext w:val="0"/>
        <w:keepLines w:val="0"/>
        <w:widowControl w:val="0"/>
        <w:numPr>
          <w:ilvl w:val="0"/>
          <w:numId w:val="3"/>
        </w:numPr>
        <w:shd w:val="clear" w:color="auto" w:fill="auto"/>
        <w:tabs>
          <w:tab w:pos="2142" w:val="left"/>
        </w:tabs>
        <w:bidi w:val="0"/>
        <w:spacing w:before="0" w:after="300" w:line="240" w:lineRule="auto"/>
        <w:ind w:left="2140" w:right="0" w:hanging="720"/>
        <w:jc w:val="both"/>
        <w:rPr>
          <w:sz w:val="26"/>
          <w:szCs w:val="26"/>
        </w:rPr>
      </w:pPr>
      <w:bookmarkStart w:id="9" w:name="bookmark9"/>
      <w:bookmarkEnd w:id="9"/>
      <w:r>
        <w:rPr>
          <w:color w:val="000000"/>
          <w:spacing w:val="0"/>
          <w:w w:val="100"/>
          <w:position w:val="0"/>
          <w:sz w:val="26"/>
          <w:szCs w:val="26"/>
        </w:rPr>
        <w:t>that temporary and exceptional exemptions will not, in any way, influence the mandatory sanction prohibiting the recruitment of nationals of the defaulting countries as new staff members as provided for in Resolution CM/Res.1311 (LIT). In this regard, the General Secretariat should ensure that the Resolution also applies to the recruitment of temporary staff such as the freelance technical staff;</w:t>
      </w:r>
    </w:p>
    <w:p>
      <w:pPr>
        <w:pStyle w:val="Style2"/>
        <w:keepNext w:val="0"/>
        <w:keepLines w:val="0"/>
        <w:widowControl w:val="0"/>
        <w:numPr>
          <w:ilvl w:val="0"/>
          <w:numId w:val="3"/>
        </w:numPr>
        <w:shd w:val="clear" w:color="auto" w:fill="auto"/>
        <w:tabs>
          <w:tab w:pos="2142" w:val="left"/>
        </w:tabs>
        <w:bidi w:val="0"/>
        <w:spacing w:before="0" w:after="300" w:line="240" w:lineRule="auto"/>
        <w:ind w:left="2140" w:right="0" w:hanging="720"/>
        <w:jc w:val="both"/>
        <w:rPr>
          <w:sz w:val="26"/>
          <w:szCs w:val="26"/>
        </w:rPr>
      </w:pPr>
      <w:bookmarkStart w:id="10" w:name="bookmark10"/>
      <w:bookmarkEnd w:id="10"/>
      <w:r>
        <w:rPr>
          <w:color w:val="000000"/>
          <w:spacing w:val="0"/>
          <w:w w:val="100"/>
          <w:position w:val="0"/>
          <w:sz w:val="26"/>
          <w:szCs w:val="26"/>
        </w:rPr>
        <w:t>that the Committee and the Secretariat should explore ways and means of encouraging Member States, particularly those that have not submitted Rescheduling Plans to honour their financial obligations.</w:t>
      </w:r>
    </w:p>
    <w:sectPr>
      <w:footnotePr>
        <w:pos w:val="pageBottom"/>
        <w:numFmt w:val="decimal"/>
        <w:numRestart w:val="continuous"/>
      </w:footnotePr>
      <w:pgSz w:w="11909" w:h="16840"/>
      <w:pgMar w:top="2785" w:right="1243" w:bottom="2118" w:left="124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abstractNum w:abstractNumId="2">
    <w:multiLevelType w:val="multilevel"/>
    <w:lvl w:ilvl="0">
      <w:start w:val="1"/>
      <w:numFmt w:val="lowerRoman"/>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