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A67" w:rsidRDefault="009739D8">
      <w:pPr>
        <w:pStyle w:val="BodyText"/>
        <w:spacing w:after="520" w:line="26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REPORT OF THE AFRICAN COMMITTEE ON</w:t>
      </w:r>
      <w:r>
        <w:rPr>
          <w:b/>
          <w:bCs/>
          <w:sz w:val="22"/>
          <w:szCs w:val="22"/>
          <w:u w:val="single"/>
        </w:rPr>
        <w:br/>
        <w:t>THE RIGHTS AND WELFARE OF THE CHILD</w:t>
      </w:r>
    </w:p>
    <w:p w:rsidR="00795A67" w:rsidRDefault="009739D8">
      <w:pPr>
        <w:pStyle w:val="BodyText"/>
        <w:spacing w:after="300" w:line="262" w:lineRule="auto"/>
        <w:ind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795A67" w:rsidRDefault="009739D8" w:rsidP="009739D8">
      <w:pPr>
        <w:pStyle w:val="BodyText"/>
        <w:tabs>
          <w:tab w:val="left" w:pos="2033"/>
        </w:tabs>
        <w:spacing w:after="300"/>
        <w:ind w:left="2020" w:hanging="50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report and recommendations of the inaugural meeting of the African Committee on the Rights and Welfare of the Child;</w:t>
      </w:r>
    </w:p>
    <w:p w:rsidR="00795A67" w:rsidRDefault="009739D8" w:rsidP="009739D8">
      <w:pPr>
        <w:pStyle w:val="BodyText"/>
        <w:tabs>
          <w:tab w:val="left" w:pos="2033"/>
        </w:tabs>
        <w:spacing w:after="300"/>
        <w:ind w:left="2020" w:hanging="50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RECOGNIZES </w:t>
      </w:r>
      <w:r>
        <w:t>the important role of the African Committee in the improvement of the conditions of African children everywhere on the Continent;</w:t>
      </w:r>
    </w:p>
    <w:p w:rsidR="00795A67" w:rsidRDefault="009739D8" w:rsidP="009739D8">
      <w:pPr>
        <w:pStyle w:val="BodyText"/>
        <w:tabs>
          <w:tab w:val="left" w:pos="2033"/>
        </w:tabs>
        <w:spacing w:after="300"/>
        <w:ind w:left="2020" w:hanging="50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UPON </w:t>
      </w:r>
      <w:r>
        <w:t>the Committee to ensure that the provisions on the rights and welfare of the African child, as enshrined</w:t>
      </w:r>
      <w:r>
        <w:t xml:space="preserve"> in the African Charter are respected in all Member States;</w:t>
      </w:r>
    </w:p>
    <w:p w:rsidR="00795A67" w:rsidRDefault="009739D8" w:rsidP="009739D8">
      <w:pPr>
        <w:pStyle w:val="BodyText"/>
        <w:tabs>
          <w:tab w:val="left" w:pos="2033"/>
        </w:tabs>
        <w:spacing w:after="300"/>
        <w:ind w:left="2020" w:hanging="50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t>Member States which have not yet done so to urgently sign and/or ratify the African Charter on the Rights and Welfare of the Child;</w:t>
      </w:r>
    </w:p>
    <w:p w:rsidR="00795A67" w:rsidRDefault="009739D8" w:rsidP="009739D8">
      <w:pPr>
        <w:pStyle w:val="BodyText"/>
        <w:tabs>
          <w:tab w:val="left" w:pos="2033"/>
        </w:tabs>
        <w:spacing w:after="300"/>
        <w:ind w:left="2020" w:hanging="50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>Member States to extend their full support and co</w:t>
      </w:r>
      <w:r>
        <w:t>operation to the African Committee and submit their reports regularly to the Committee;</w:t>
      </w:r>
    </w:p>
    <w:p w:rsidR="00795A67" w:rsidRDefault="009739D8" w:rsidP="009739D8">
      <w:pPr>
        <w:pStyle w:val="BodyText"/>
        <w:tabs>
          <w:tab w:val="left" w:pos="2033"/>
        </w:tabs>
        <w:spacing w:after="300"/>
        <w:ind w:left="2020" w:hanging="500"/>
        <w:jc w:val="both"/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UPON </w:t>
      </w:r>
      <w:r>
        <w:t>the Secretary General to urgently appoint a Secretary to the Committee, as stipulated in Article 40 of the African Charter on the Rights and Welfare of the C</w:t>
      </w:r>
      <w:r>
        <w:t>hild, to enable the Committee to function effectively;</w:t>
      </w:r>
    </w:p>
    <w:sectPr w:rsidR="00795A67">
      <w:pgSz w:w="11909" w:h="16840"/>
      <w:pgMar w:top="1717" w:right="688" w:bottom="3594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739D8">
      <w:r>
        <w:separator/>
      </w:r>
    </w:p>
  </w:endnote>
  <w:endnote w:type="continuationSeparator" w:id="0">
    <w:p w:rsidR="00000000" w:rsidRDefault="0097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A67" w:rsidRDefault="009739D8">
      <w:r>
        <w:separator/>
      </w:r>
    </w:p>
  </w:footnote>
  <w:footnote w:type="continuationSeparator" w:id="0">
    <w:p w:rsidR="00795A67" w:rsidRDefault="0097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709B"/>
    <w:multiLevelType w:val="multilevel"/>
    <w:tmpl w:val="6D44687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5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7"/>
    <w:rsid w:val="00795A67"/>
    <w:rsid w:val="009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2022-10-23T08:01:00Z</dcterms:created>
  <dcterms:modified xsi:type="dcterms:W3CDTF">2022-10-23T08:01:00Z</dcterms:modified>
</cp:coreProperties>
</file>