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C1D" w:rsidRDefault="00290542">
      <w:pPr>
        <w:pStyle w:val="BodyText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AIDS WATCH AFRICA |AWA| AND THE IMPLEMENTATION OF THE</w:t>
      </w:r>
      <w:r>
        <w:rPr>
          <w:b/>
          <w:bCs/>
          <w:sz w:val="22"/>
          <w:szCs w:val="22"/>
          <w:u w:val="single"/>
        </w:rPr>
        <w:br/>
        <w:t>ABUJA AND MAPUTO DECLARATIONS ON MALARIA, HIV/AIDS, TUBERCULOSIS</w:t>
      </w:r>
      <w:r>
        <w:rPr>
          <w:b/>
          <w:bCs/>
          <w:sz w:val="22"/>
          <w:szCs w:val="22"/>
          <w:u w:val="single"/>
        </w:rPr>
        <w:br/>
        <w:t>AND OTHER RELATED INFECTIOUS DISEASES</w:t>
      </w:r>
    </w:p>
    <w:p w:rsidR="00565C1D" w:rsidRDefault="00290542">
      <w:pPr>
        <w:pStyle w:val="BodyText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IN AFRICA</w:t>
      </w:r>
    </w:p>
    <w:p w:rsidR="00565C1D" w:rsidRDefault="00290542">
      <w:pPr>
        <w:pStyle w:val="BodyText"/>
        <w:spacing w:after="50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565C1D" w:rsidRDefault="00290542" w:rsidP="00290542">
      <w:pPr>
        <w:pStyle w:val="BodyText"/>
        <w:tabs>
          <w:tab w:val="left" w:pos="1828"/>
        </w:tabs>
        <w:spacing w:after="240"/>
        <w:ind w:left="1100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rPr>
          <w:sz w:val="22"/>
          <w:szCs w:val="22"/>
        </w:rPr>
        <w:t>of:</w:t>
      </w:r>
    </w:p>
    <w:p w:rsidR="00565C1D" w:rsidRDefault="00290542" w:rsidP="00290542">
      <w:pPr>
        <w:pStyle w:val="BodyText"/>
        <w:tabs>
          <w:tab w:val="left" w:pos="2527"/>
        </w:tabs>
        <w:spacing w:after="240"/>
        <w:ind w:left="2540" w:hanging="720"/>
        <w:rPr>
          <w:sz w:val="22"/>
          <w:szCs w:val="22"/>
        </w:rPr>
      </w:pPr>
      <w:bookmarkStart w:id="1" w:name="bookmark1"/>
      <w:bookmarkEnd w:id="1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The presentation by the </w:t>
      </w:r>
      <w:r>
        <w:rPr>
          <w:sz w:val="22"/>
          <w:szCs w:val="22"/>
        </w:rPr>
        <w:t>Representative of the Chairman of AIDS Watch Africa;</w:t>
      </w:r>
    </w:p>
    <w:p w:rsidR="00565C1D" w:rsidRDefault="00290542" w:rsidP="00290542">
      <w:pPr>
        <w:pStyle w:val="BodyText"/>
        <w:tabs>
          <w:tab w:val="left" w:pos="2527"/>
        </w:tabs>
        <w:spacing w:after="240" w:line="233" w:lineRule="auto"/>
        <w:ind w:left="2540" w:hanging="720"/>
        <w:rPr>
          <w:sz w:val="22"/>
          <w:szCs w:val="22"/>
        </w:rPr>
      </w:pPr>
      <w:bookmarkStart w:id="2" w:name="bookmark2"/>
      <w:bookmarkEnd w:id="2"/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>The presentation by the Commissioner for Social Affairs of the AU; and</w:t>
      </w:r>
    </w:p>
    <w:p w:rsidR="00565C1D" w:rsidRDefault="00290542" w:rsidP="00290542">
      <w:pPr>
        <w:pStyle w:val="BodyText"/>
        <w:tabs>
          <w:tab w:val="left" w:pos="2527"/>
        </w:tabs>
        <w:spacing w:after="240"/>
        <w:ind w:left="2540" w:hanging="720"/>
        <w:rPr>
          <w:sz w:val="22"/>
          <w:szCs w:val="22"/>
        </w:rPr>
      </w:pPr>
      <w:bookmarkStart w:id="3" w:name="bookmark3"/>
      <w:bookmarkEnd w:id="3"/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>
        <w:rPr>
          <w:sz w:val="22"/>
          <w:szCs w:val="22"/>
        </w:rPr>
        <w:t>The recommendations of the Executive Council as contained in the Decision EX.CL/Dec. 104 (V).</w:t>
      </w:r>
    </w:p>
    <w:p w:rsidR="00565C1D" w:rsidRDefault="00290542" w:rsidP="00290542">
      <w:pPr>
        <w:pStyle w:val="BodyText"/>
        <w:tabs>
          <w:tab w:val="left" w:pos="1828"/>
        </w:tabs>
        <w:spacing w:after="240"/>
        <w:ind w:left="1820" w:hanging="700"/>
        <w:jc w:val="both"/>
        <w:rPr>
          <w:sz w:val="22"/>
          <w:szCs w:val="22"/>
        </w:rPr>
      </w:pPr>
      <w:bookmarkStart w:id="4" w:name="bookmark4"/>
      <w:bookmarkEnd w:id="4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URGES </w:t>
      </w:r>
      <w:r>
        <w:rPr>
          <w:sz w:val="22"/>
          <w:szCs w:val="22"/>
        </w:rPr>
        <w:t>Member States to ensure effectiv</w:t>
      </w:r>
      <w:r>
        <w:rPr>
          <w:sz w:val="22"/>
          <w:szCs w:val="22"/>
        </w:rPr>
        <w:t>e implementation of their commitments in accordance with the 2000 Abuja Declaration and Plan of Action on Roll Back Malaria, the 2001 Abuja Declaration and Plan of Action on HIV/AIDS, Tuberculosis and Other Related Infectious Diseases as well as the 2003 M</w:t>
      </w:r>
      <w:r>
        <w:rPr>
          <w:sz w:val="22"/>
          <w:szCs w:val="22"/>
        </w:rPr>
        <w:t>aputo Declaration on Malaria, HIV/AIDS, Tuberculosis and Other Related Infectious Diseases in Africa and to report on progress made;</w:t>
      </w:r>
    </w:p>
    <w:p w:rsidR="00565C1D" w:rsidRDefault="00290542" w:rsidP="00290542">
      <w:pPr>
        <w:pStyle w:val="BodyText"/>
        <w:tabs>
          <w:tab w:val="left" w:pos="1828"/>
        </w:tabs>
        <w:spacing w:after="240"/>
        <w:ind w:left="1820" w:hanging="700"/>
        <w:jc w:val="both"/>
        <w:rPr>
          <w:sz w:val="22"/>
          <w:szCs w:val="22"/>
        </w:rPr>
      </w:pPr>
      <w:bookmarkStart w:id="5" w:name="bookmark5"/>
      <w:bookmarkEnd w:id="5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DECIDES </w:t>
      </w:r>
      <w:r>
        <w:rPr>
          <w:sz w:val="22"/>
          <w:szCs w:val="22"/>
        </w:rPr>
        <w:t>to reposition AWA’s Secretariat within the Social Affairs Department of the AU Commission for a more effective coor</w:t>
      </w:r>
      <w:r>
        <w:rPr>
          <w:sz w:val="22"/>
          <w:szCs w:val="22"/>
        </w:rPr>
        <w:t>dination of AWA’s roles and activities;</w:t>
      </w:r>
    </w:p>
    <w:p w:rsidR="00565C1D" w:rsidRDefault="00290542" w:rsidP="00290542">
      <w:pPr>
        <w:pStyle w:val="BodyText"/>
        <w:tabs>
          <w:tab w:val="left" w:pos="1828"/>
        </w:tabs>
        <w:spacing w:after="240"/>
        <w:ind w:left="1820" w:hanging="700"/>
        <w:jc w:val="both"/>
        <w:rPr>
          <w:sz w:val="22"/>
          <w:szCs w:val="22"/>
        </w:rPr>
      </w:pPr>
      <w:bookmarkStart w:id="6" w:name="bookmark6"/>
      <w:bookmarkEnd w:id="6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URGES </w:t>
      </w:r>
      <w:r>
        <w:rPr>
          <w:sz w:val="22"/>
          <w:szCs w:val="22"/>
        </w:rPr>
        <w:t>AWA to ensure that best practices amongst Member States in the prevention and control of HIV/AIDS, Tuberculosis, Malaria and Other Related Infectious Diseases are identified, propagated and adopted by all;</w:t>
      </w:r>
    </w:p>
    <w:p w:rsidR="00565C1D" w:rsidRDefault="00290542" w:rsidP="00290542">
      <w:pPr>
        <w:pStyle w:val="BodyText"/>
        <w:tabs>
          <w:tab w:val="left" w:pos="1828"/>
        </w:tabs>
        <w:spacing w:after="240"/>
        <w:ind w:left="1820" w:hanging="700"/>
        <w:jc w:val="both"/>
        <w:rPr>
          <w:sz w:val="22"/>
          <w:szCs w:val="22"/>
        </w:rPr>
      </w:pPr>
      <w:bookmarkStart w:id="7" w:name="bookmark7"/>
      <w:bookmarkEnd w:id="7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REQU</w:t>
      </w:r>
      <w:r>
        <w:rPr>
          <w:b/>
          <w:bCs/>
          <w:sz w:val="22"/>
          <w:szCs w:val="22"/>
        </w:rPr>
        <w:t xml:space="preserve">ESTS </w:t>
      </w:r>
      <w:r>
        <w:rPr>
          <w:sz w:val="22"/>
          <w:szCs w:val="22"/>
        </w:rPr>
        <w:t>the Chairman of AWA to report on progress made to the next Ordinary Session of the Assembly.</w:t>
      </w:r>
    </w:p>
    <w:sectPr w:rsidR="00565C1D">
      <w:pgSz w:w="11909" w:h="16840"/>
      <w:pgMar w:top="2437" w:right="712" w:bottom="2437" w:left="8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90542">
      <w:r>
        <w:separator/>
      </w:r>
    </w:p>
  </w:endnote>
  <w:endnote w:type="continuationSeparator" w:id="0">
    <w:p w:rsidR="00000000" w:rsidRDefault="0029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C1D" w:rsidRDefault="00290542">
      <w:r>
        <w:separator/>
      </w:r>
    </w:p>
  </w:footnote>
  <w:footnote w:type="continuationSeparator" w:id="0">
    <w:p w:rsidR="00565C1D" w:rsidRDefault="0029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25653"/>
    <w:multiLevelType w:val="multilevel"/>
    <w:tmpl w:val="E33278E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932EB4"/>
    <w:multiLevelType w:val="multilevel"/>
    <w:tmpl w:val="EE864B3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5422543">
    <w:abstractNumId w:val="1"/>
  </w:num>
  <w:num w:numId="2" w16cid:durableId="130076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1D"/>
    <w:rsid w:val="00290542"/>
    <w:rsid w:val="005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