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57F" w:rsidRDefault="001478E7">
      <w:pPr>
        <w:pStyle w:val="BodyText"/>
        <w:spacing w:after="54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STATUS OF FOOD SECURITY IN AFRICA</w:t>
      </w:r>
      <w:r>
        <w:rPr>
          <w:b/>
          <w:bCs/>
          <w:sz w:val="22"/>
          <w:szCs w:val="22"/>
        </w:rPr>
        <w:br/>
        <w:t>Doc. Assembly/AU/6 (IV)</w:t>
      </w:r>
    </w:p>
    <w:p w:rsidR="00F4657F" w:rsidRDefault="001478E7">
      <w:pPr>
        <w:pStyle w:val="BodyText"/>
        <w:spacing w:line="262" w:lineRule="auto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F4657F" w:rsidRDefault="001478E7" w:rsidP="001478E7">
      <w:pPr>
        <w:pStyle w:val="BodyText"/>
        <w:tabs>
          <w:tab w:val="left" w:pos="1094"/>
        </w:tabs>
        <w:ind w:firstLine="38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Report;</w:t>
      </w:r>
    </w:p>
    <w:p w:rsidR="00F4657F" w:rsidRDefault="001478E7" w:rsidP="001478E7">
      <w:pPr>
        <w:pStyle w:val="BodyText"/>
        <w:tabs>
          <w:tab w:val="left" w:pos="1094"/>
        </w:tabs>
        <w:ind w:left="1160" w:hanging="78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NOTES WITH GRAVE CONCERN </w:t>
      </w:r>
      <w:r>
        <w:t xml:space="preserve">the serious economic and social impacts of the 2004 desert locust invasion of the Northern, Western and </w:t>
      </w:r>
      <w:r>
        <w:t>Eastern regions of Africa;</w:t>
      </w:r>
    </w:p>
    <w:p w:rsidR="00F4657F" w:rsidRDefault="001478E7" w:rsidP="001478E7">
      <w:pPr>
        <w:pStyle w:val="BodyText"/>
        <w:tabs>
          <w:tab w:val="left" w:pos="1094"/>
        </w:tabs>
        <w:ind w:left="1160" w:hanging="78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t>its Decision taken in Maputo in 2003 adopting the Comprehensive Africa Agricultural Development Programme (CAADP) for the Development of the Agriculture sector in Africa;</w:t>
      </w:r>
    </w:p>
    <w:p w:rsidR="00F4657F" w:rsidRDefault="001478E7" w:rsidP="001478E7">
      <w:pPr>
        <w:pStyle w:val="BodyText"/>
        <w:tabs>
          <w:tab w:val="left" w:pos="1094"/>
        </w:tabs>
        <w:ind w:left="1160" w:hanging="78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 xml:space="preserve">the Commission and Member States to take </w:t>
      </w:r>
      <w:r>
        <w:t>all necessary measures to implement the Maputo, Sirte and Ouagadougou Declarations and their relevant Plans of Action;</w:t>
      </w:r>
    </w:p>
    <w:p w:rsidR="00F4657F" w:rsidRDefault="001478E7" w:rsidP="001478E7">
      <w:pPr>
        <w:pStyle w:val="BodyText"/>
        <w:tabs>
          <w:tab w:val="left" w:pos="1094"/>
        </w:tabs>
        <w:ind w:left="1160" w:hanging="78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REQUESTS </w:t>
      </w:r>
      <w:r>
        <w:t>the Commission to redraft the report on the Status of Food Security in Africa focusing on the implementation of CAADP an</w:t>
      </w:r>
      <w:r>
        <w:t>d other relevant Declarations and Plans of Action and submit it for consideration of the Assembly in July every year;</w:t>
      </w:r>
    </w:p>
    <w:p w:rsidR="00F4657F" w:rsidRDefault="001478E7" w:rsidP="001478E7">
      <w:pPr>
        <w:pStyle w:val="BodyText"/>
        <w:tabs>
          <w:tab w:val="left" w:pos="1094"/>
        </w:tabs>
        <w:spacing w:line="233" w:lineRule="auto"/>
        <w:ind w:left="1160" w:hanging="78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FAO, IFAD and WFP to collaborate with the Chairperson of the Commission to prepare the report.</w:t>
      </w:r>
    </w:p>
    <w:sectPr w:rsidR="00F4657F">
      <w:pgSz w:w="11909" w:h="16840"/>
      <w:pgMar w:top="2301" w:right="502" w:bottom="2301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478E7">
      <w:r>
        <w:separator/>
      </w:r>
    </w:p>
  </w:endnote>
  <w:endnote w:type="continuationSeparator" w:id="0">
    <w:p w:rsidR="00000000" w:rsidRDefault="001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57F" w:rsidRDefault="001478E7">
      <w:r>
        <w:separator/>
      </w:r>
    </w:p>
  </w:footnote>
  <w:footnote w:type="continuationSeparator" w:id="0">
    <w:p w:rsidR="00F4657F" w:rsidRDefault="0014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493"/>
    <w:multiLevelType w:val="multilevel"/>
    <w:tmpl w:val="04BCE1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976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7F"/>
    <w:rsid w:val="001478E7"/>
    <w:rsid w:val="00F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