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>DECISION ON APPOINTMENT OF AU COMMISSIONERS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40" w:lineRule="auto"/>
        <w:ind w:left="1060" w:right="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election by the Executive Council of the Commissioners of the AU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40" w:lineRule="auto"/>
        <w:ind w:left="0" w:right="0" w:firstLine="34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persons as Commissioner of the African Union;</w:t>
      </w:r>
    </w:p>
    <w:tbl>
      <w:tblPr>
        <w:tblOverlap w:val="never"/>
        <w:jc w:val="center"/>
        <w:tblLayout w:type="fixed"/>
      </w:tblPr>
      <w:tblGrid>
        <w:gridCol w:w="336"/>
        <w:gridCol w:w="4541"/>
        <w:gridCol w:w="2453"/>
      </w:tblGrid>
      <w:tr>
        <w:trPr>
          <w:trHeight w:val="53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a)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Ramtane LAMAMRA (Algeria)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Peace and Security Portfolio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b)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Julia Dolly JOINER (The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Political Affairs</w:t>
            </w:r>
          </w:p>
        </w:tc>
      </w:tr>
      <w:tr>
        <w:trPr>
          <w:trHeight w:val="269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Gambia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Portfolio</w:t>
            </w:r>
          </w:p>
        </w:tc>
      </w:tr>
      <w:tr>
        <w:trPr>
          <w:trHeight w:val="27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c)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Elham Mahmood Ahmed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Infrastructure and</w:t>
            </w:r>
          </w:p>
        </w:tc>
      </w:tr>
      <w:tr>
        <w:trPr>
          <w:trHeight w:val="29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IBRAHIM (Egypt)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Energy Portfolio</w:t>
            </w:r>
          </w:p>
        </w:tc>
      </w:tr>
      <w:tr>
        <w:trPr>
          <w:trHeight w:val="25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d)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Bience Philomina GAWANAS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Social Affairs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(Namibia)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Portfolio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Jean Pierre Onvehoun EZIN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Human Resources,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(Benin)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Science and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Technology Portfolio</w:t>
            </w:r>
          </w:p>
        </w:tc>
      </w:tr>
      <w:tr>
        <w:trPr>
          <w:trHeight w:val="52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f)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Mrs. Elizabeth TANKEU (Cameroon) -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Trade and Industry Portfolio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g)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Mr. M. Maxwell MKWEZALAMBA -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Economic Affairs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(Malawi)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4"/>
                <w:szCs w:val="24"/>
              </w:rPr>
              <w:t>portfolio</w:t>
            </w:r>
          </w:p>
        </w:tc>
      </w:tr>
    </w:tbl>
    <w:p>
      <w:pPr>
        <w:widowControl w:val="0"/>
        <w:spacing w:after="259" w:line="1" w:lineRule="exact"/>
      </w:pP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33" w:lineRule="auto"/>
        <w:ind w:left="0" w:right="0" w:firstLine="34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>the newly elected Commissioners;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33" w:lineRule="auto"/>
        <w:ind w:left="1060" w:right="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Commissioner for Rural Economy and Agriculture shall be elected from among female candidates from the Eastern Region;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40" w:lineRule="auto"/>
        <w:ind w:left="1060" w:right="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AUTHORIZES </w:t>
      </w:r>
      <w:r>
        <w:rPr>
          <w:color w:val="000000"/>
          <w:spacing w:val="0"/>
          <w:w w:val="100"/>
          <w:position w:val="0"/>
          <w:sz w:val="24"/>
          <w:szCs w:val="24"/>
        </w:rPr>
        <w:t>the Executive Council to elect and appoint a Commissioner for Rural Economy and Agriculture during its forthcoming Extraordinary Session and report to the 11</w:t>
      </w:r>
      <w:r>
        <w:rPr>
          <w:color w:val="000000"/>
          <w:spacing w:val="0"/>
          <w:w w:val="100"/>
          <w:position w:val="0"/>
          <w:sz w:val="24"/>
          <w:szCs w:val="24"/>
          <w:vertAlign w:val="superscript"/>
        </w:rPr>
        <w:t>th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Ordinary Session of the Assembly;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73" w:val="left"/>
        </w:tabs>
        <w:bidi w:val="0"/>
        <w:spacing w:before="0" w:line="233" w:lineRule="auto"/>
        <w:ind w:left="1060" w:right="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elected Commissioners who did not take the Oath of Office during the current session of the Assembly should do so before the Chairperson of the Commission.</w:t>
      </w:r>
    </w:p>
    <w:sectPr>
      <w:footnotePr>
        <w:pos w:val="pageBottom"/>
        <w:numFmt w:val="decimal"/>
        <w:numRestart w:val="continuous"/>
      </w:footnotePr>
      <w:pgSz w:w="11909" w:h="16840"/>
      <w:pgMar w:top="2324" w:right="1206" w:bottom="2324" w:left="1236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9">
    <w:name w:val="Other_"/>
    <w:basedOn w:val="DefaultParagraphFont"/>
    <w:link w:val="Style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8">
    <w:name w:val="Other"/>
    <w:basedOn w:val="Normal"/>
    <w:link w:val="CharStyle9"/>
    <w:pPr>
      <w:widowControl w:val="0"/>
      <w:shd w:val="clear" w:color="auto" w:fill="auto"/>
      <w:spacing w:after="280"/>
    </w:pPr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