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b w:val="0"/>
        </w:rPr>
        <w:t>Page</w:t>
      </w:r>
      <w:r>
        <w:rPr>
          <w:b w:val="0"/>
          <w:spacing w:val="41"/>
        </w:rPr>
        <w:t> </w:t>
      </w:r>
      <w:r>
        <w:rPr>
          <w:b w:val="0"/>
          <w:spacing w:val="-10"/>
        </w:rPr>
        <w:t>1</w:t>
      </w:r>
    </w:p>
    <w:p>
      <w:pPr>
        <w:pStyle w:val="BodyText"/>
        <w:spacing w:before="1"/>
        <w:rPr>
          <w:b w:val="0"/>
          <w:sz w:val="28"/>
        </w:rPr>
      </w:pPr>
    </w:p>
    <w:p>
      <w:pPr>
        <w:spacing w:before="0"/>
        <w:ind w:left="3066" w:right="116" w:hanging="701"/>
        <w:jc w:val="right"/>
        <w:rPr>
          <w:b w:val="0"/>
          <w:sz w:val="28"/>
        </w:rPr>
      </w:pPr>
      <w:r>
        <w:rPr>
          <w:b w:val="0"/>
          <w:sz w:val="28"/>
          <w:u w:val="single"/>
        </w:rPr>
        <w:t>DECISION ON </w:t>
      </w:r>
      <w:r>
        <w:rPr>
          <w:b w:val="0"/>
          <w:spacing w:val="9"/>
          <w:sz w:val="28"/>
          <w:u w:val="single"/>
        </w:rPr>
        <w:t>AFRICA’</w:t>
      </w:r>
      <w:r>
        <w:rPr>
          <w:b w:val="0"/>
          <w:spacing w:val="-59"/>
          <w:sz w:val="28"/>
          <w:u w:val="single"/>
        </w:rPr>
        <w:t> </w:t>
      </w:r>
      <w:r>
        <w:rPr>
          <w:b w:val="0"/>
          <w:sz w:val="28"/>
          <w:u w:val="single"/>
        </w:rPr>
        <w:t>S </w:t>
      </w:r>
      <w:r>
        <w:rPr>
          <w:b w:val="0"/>
          <w:spacing w:val="11"/>
          <w:sz w:val="28"/>
          <w:u w:val="single"/>
        </w:rPr>
        <w:t>PARTICIPATION </w:t>
      </w:r>
      <w:r>
        <w:rPr>
          <w:b w:val="0"/>
          <w:sz w:val="28"/>
          <w:u w:val="single"/>
        </w:rPr>
        <w:t>IN THE</w:t>
      </w:r>
      <w:r>
        <w:rPr>
          <w:b w:val="0"/>
          <w:sz w:val="28"/>
        </w:rPr>
        <w:t> </w:t>
      </w:r>
      <w:r>
        <w:rPr>
          <w:b w:val="0"/>
          <w:sz w:val="28"/>
          <w:u w:val="single"/>
        </w:rPr>
        <w:t>FOURTH WTO </w:t>
      </w:r>
      <w:r>
        <w:rPr>
          <w:b w:val="0"/>
          <w:spacing w:val="9"/>
          <w:sz w:val="28"/>
          <w:u w:val="single"/>
        </w:rPr>
        <w:t>MINISTERIAL </w:t>
      </w:r>
      <w:r>
        <w:rPr>
          <w:b w:val="0"/>
          <w:sz w:val="28"/>
          <w:u w:val="single"/>
        </w:rPr>
        <w:t>CONFERENCE,</w:t>
      </w:r>
      <w:r>
        <w:rPr>
          <w:b w:val="0"/>
          <w:sz w:val="28"/>
        </w:rPr>
        <w:t> </w:t>
      </w:r>
      <w:r>
        <w:rPr>
          <w:b w:val="0"/>
          <w:sz w:val="28"/>
          <w:u w:val="single"/>
        </w:rPr>
        <w:t>DOHA, </w:t>
      </w:r>
      <w:r>
        <w:rPr>
          <w:b w:val="0"/>
          <w:spacing w:val="9"/>
          <w:sz w:val="28"/>
          <w:u w:val="single"/>
        </w:rPr>
        <w:t>QATAR, </w:t>
      </w:r>
      <w:r>
        <w:rPr>
          <w:b w:val="0"/>
          <w:sz w:val="28"/>
          <w:u w:val="single"/>
        </w:rPr>
        <w:t>9-13 NOVEMBER </w:t>
      </w:r>
      <w:r>
        <w:rPr>
          <w:b w:val="0"/>
          <w:spacing w:val="10"/>
          <w:sz w:val="28"/>
          <w:u w:val="single"/>
        </w:rPr>
        <w:t>2001</w:t>
      </w:r>
    </w:p>
    <w:p>
      <w:pPr>
        <w:pStyle w:val="BodyText"/>
        <w:rPr>
          <w:b w:val="0"/>
          <w:sz w:val="20"/>
        </w:rPr>
      </w:pPr>
    </w:p>
    <w:p>
      <w:pPr>
        <w:pStyle w:val="BodyText"/>
        <w:spacing w:before="6"/>
        <w:rPr>
          <w:b w:val="0"/>
          <w:sz w:val="25"/>
        </w:rPr>
      </w:pPr>
    </w:p>
    <w:p>
      <w:pPr>
        <w:pStyle w:val="BodyText"/>
        <w:spacing w:before="86"/>
        <w:ind w:left="119"/>
        <w:rPr>
          <w:b w:val="0"/>
        </w:rPr>
      </w:pPr>
      <w:r>
        <w:rPr>
          <w:b w:val="0"/>
          <w:spacing w:val="-2"/>
        </w:rPr>
        <w:t>Council:</w:t>
      </w:r>
    </w:p>
    <w:p>
      <w:pPr>
        <w:pStyle w:val="BodyText"/>
        <w:spacing w:before="1"/>
        <w:rPr>
          <w:b w:val="0"/>
          <w:sz w:val="25"/>
        </w:rPr>
      </w:pPr>
    </w:p>
    <w:p>
      <w:pPr>
        <w:pStyle w:val="ListParagraph"/>
        <w:numPr>
          <w:ilvl w:val="0"/>
          <w:numId w:val="1"/>
        </w:numPr>
        <w:tabs>
          <w:tab w:pos="1560" w:val="left" w:leader="none"/>
        </w:tabs>
        <w:spacing w:line="240" w:lineRule="auto" w:before="0" w:after="0"/>
        <w:ind w:left="1559" w:right="116" w:hanging="721"/>
        <w:jc w:val="both"/>
        <w:rPr>
          <w:b w:val="0"/>
          <w:sz w:val="26"/>
        </w:rPr>
      </w:pPr>
      <w:r>
        <w:rPr>
          <w:b w:val="0"/>
          <w:position w:val="1"/>
          <w:sz w:val="26"/>
        </w:rPr>
        <w:t>NOTES </w:t>
      </w:r>
      <w:r>
        <w:rPr>
          <w:b w:val="0"/>
          <w:sz w:val="26"/>
        </w:rPr>
        <w:t>that a High-level Brainstorming Meeting for Africa’s Trade Negotiators was held in Addis Ababa, Ethiopia on 26- 29 June, 2001 preparatory to the 4th Ministerial Conference of the WTO scheduled for 9-13 November, in Doha, Qatar;</w:t>
      </w:r>
    </w:p>
    <w:p>
      <w:pPr>
        <w:pStyle w:val="BodyText"/>
        <w:spacing w:before="2"/>
        <w:rPr>
          <w:b w:val="0"/>
          <w:sz w:val="25"/>
        </w:rPr>
      </w:pPr>
    </w:p>
    <w:p>
      <w:pPr>
        <w:pStyle w:val="ListParagraph"/>
        <w:numPr>
          <w:ilvl w:val="0"/>
          <w:numId w:val="1"/>
        </w:numPr>
        <w:tabs>
          <w:tab w:pos="1200" w:val="left" w:leader="none"/>
        </w:tabs>
        <w:spacing w:line="240" w:lineRule="auto" w:before="1" w:after="0"/>
        <w:ind w:left="1199" w:right="112" w:hanging="361"/>
        <w:jc w:val="both"/>
        <w:rPr>
          <w:b w:val="0"/>
          <w:sz w:val="26"/>
        </w:rPr>
      </w:pPr>
      <w:r>
        <w:rPr>
          <w:b w:val="0"/>
          <w:position w:val="1"/>
          <w:sz w:val="26"/>
        </w:rPr>
        <w:t>CALLS ON </w:t>
      </w:r>
      <w:r>
        <w:rPr>
          <w:b w:val="0"/>
          <w:sz w:val="26"/>
        </w:rPr>
        <w:t>the forthcoming 4th Ordinary Session of the OAU/AEC Ministers of Trade scheduled to take place in Abuja, Nigeria on 17-21 September, 2001 to review the Conclusions</w:t>
      </w:r>
      <w:r>
        <w:rPr>
          <w:b w:val="0"/>
          <w:spacing w:val="80"/>
          <w:sz w:val="26"/>
        </w:rPr>
        <w:t> </w:t>
      </w:r>
      <w:r>
        <w:rPr>
          <w:b w:val="0"/>
          <w:sz w:val="26"/>
        </w:rPr>
        <w:t>and Recommendations of the High Level Meeting, and provide the necessary political leadership for Africa’s participation in the Doha Ministerial Conference of the WTO, including the designation of Spokespersons to articulate Africa’s interest during the negotiations;</w:t>
      </w:r>
    </w:p>
    <w:p>
      <w:pPr>
        <w:pStyle w:val="BodyText"/>
        <w:spacing w:before="2"/>
        <w:rPr>
          <w:b w:val="0"/>
          <w:sz w:val="25"/>
        </w:rPr>
      </w:pPr>
    </w:p>
    <w:p>
      <w:pPr>
        <w:pStyle w:val="ListParagraph"/>
        <w:numPr>
          <w:ilvl w:val="0"/>
          <w:numId w:val="1"/>
        </w:numPr>
        <w:tabs>
          <w:tab w:pos="1200" w:val="left" w:leader="none"/>
        </w:tabs>
        <w:spacing w:line="240" w:lineRule="auto" w:before="1" w:after="0"/>
        <w:ind w:left="1199" w:right="118" w:hanging="360"/>
        <w:jc w:val="both"/>
        <w:rPr>
          <w:b w:val="0"/>
          <w:sz w:val="26"/>
        </w:rPr>
      </w:pPr>
      <w:r>
        <w:rPr>
          <w:b w:val="0"/>
          <w:position w:val="1"/>
          <w:sz w:val="26"/>
        </w:rPr>
        <w:t>URGES </w:t>
      </w:r>
      <w:r>
        <w:rPr>
          <w:b w:val="0"/>
          <w:sz w:val="26"/>
        </w:rPr>
        <w:t>all African countries, which are members of the WTO, to take the necessary steps to attend the 4</w:t>
      </w:r>
      <w:r>
        <w:rPr>
          <w:b w:val="0"/>
          <w:position w:val="7"/>
          <w:sz w:val="17"/>
        </w:rPr>
        <w:t>th</w:t>
      </w:r>
      <w:r>
        <w:rPr>
          <w:b w:val="0"/>
          <w:spacing w:val="40"/>
          <w:position w:val="7"/>
          <w:sz w:val="17"/>
        </w:rPr>
        <w:t> </w:t>
      </w:r>
      <w:r>
        <w:rPr>
          <w:b w:val="0"/>
          <w:sz w:val="26"/>
        </w:rPr>
        <w:t>WTO Ministerial Conference scheduled to take place in Doha, Qatar in November 2001 and maintain their unity and solidarity throughout the </w:t>
      </w:r>
      <w:r>
        <w:rPr>
          <w:b w:val="0"/>
          <w:spacing w:val="-2"/>
          <w:sz w:val="26"/>
        </w:rPr>
        <w:t>negotiations;</w:t>
      </w:r>
    </w:p>
    <w:p>
      <w:pPr>
        <w:pStyle w:val="BodyText"/>
        <w:spacing w:before="1"/>
        <w:rPr>
          <w:b w:val="0"/>
          <w:sz w:val="25"/>
        </w:rPr>
      </w:pPr>
    </w:p>
    <w:p>
      <w:pPr>
        <w:pStyle w:val="ListParagraph"/>
        <w:numPr>
          <w:ilvl w:val="0"/>
          <w:numId w:val="1"/>
        </w:numPr>
        <w:tabs>
          <w:tab w:pos="1200" w:val="left" w:leader="none"/>
        </w:tabs>
        <w:spacing w:line="240" w:lineRule="auto" w:before="0" w:after="0"/>
        <w:ind w:left="1199" w:right="117" w:hanging="361"/>
        <w:jc w:val="both"/>
        <w:rPr>
          <w:b w:val="0"/>
          <w:sz w:val="26"/>
        </w:rPr>
      </w:pPr>
      <w:r>
        <w:rPr>
          <w:b w:val="0"/>
          <w:position w:val="1"/>
          <w:sz w:val="26"/>
        </w:rPr>
        <w:t>URGES </w:t>
      </w:r>
      <w:r>
        <w:rPr>
          <w:b w:val="0"/>
          <w:sz w:val="26"/>
        </w:rPr>
        <w:t>that all identifiable interests of Member States and/or groups of states, should be taken into account for the formulation of a Common African Position for further </w:t>
      </w:r>
      <w:r>
        <w:rPr>
          <w:b w:val="0"/>
          <w:spacing w:val="-2"/>
          <w:sz w:val="26"/>
        </w:rPr>
        <w:t>negotiations;</w:t>
      </w:r>
    </w:p>
    <w:p>
      <w:pPr>
        <w:pStyle w:val="BodyText"/>
        <w:spacing w:before="2"/>
        <w:rPr>
          <w:b w:val="0"/>
          <w:sz w:val="25"/>
        </w:rPr>
      </w:pPr>
    </w:p>
    <w:p>
      <w:pPr>
        <w:pStyle w:val="ListParagraph"/>
        <w:numPr>
          <w:ilvl w:val="0"/>
          <w:numId w:val="1"/>
        </w:numPr>
        <w:tabs>
          <w:tab w:pos="1200" w:val="left" w:leader="none"/>
        </w:tabs>
        <w:spacing w:line="240" w:lineRule="auto" w:before="0" w:after="0"/>
        <w:ind w:left="1199" w:right="114" w:hanging="360"/>
        <w:jc w:val="both"/>
        <w:rPr>
          <w:b w:val="0"/>
          <w:sz w:val="26"/>
        </w:rPr>
      </w:pPr>
      <w:r>
        <w:rPr>
          <w:b w:val="0"/>
          <w:position w:val="1"/>
          <w:sz w:val="26"/>
        </w:rPr>
        <w:t>INVITES </w:t>
      </w:r>
      <w:r>
        <w:rPr>
          <w:b w:val="0"/>
          <w:sz w:val="26"/>
        </w:rPr>
        <w:t>Member States participating in the 4</w:t>
      </w:r>
      <w:r>
        <w:rPr>
          <w:b w:val="0"/>
          <w:position w:val="7"/>
          <w:sz w:val="17"/>
        </w:rPr>
        <w:t>th</w:t>
      </w:r>
      <w:r>
        <w:rPr>
          <w:b w:val="0"/>
          <w:spacing w:val="40"/>
          <w:position w:val="7"/>
          <w:sz w:val="17"/>
        </w:rPr>
        <w:t> </w:t>
      </w:r>
      <w:r>
        <w:rPr>
          <w:b w:val="0"/>
          <w:sz w:val="26"/>
        </w:rPr>
        <w:t>WTO Ministerial Conference to be vigilant so that the international negotiations and initiatives for Africa do not undermine the regional integration process and operationalisation of the African Union;</w:t>
      </w:r>
    </w:p>
    <w:p>
      <w:pPr>
        <w:spacing w:after="0" w:line="240" w:lineRule="auto"/>
        <w:jc w:val="both"/>
        <w:rPr>
          <w:sz w:val="26"/>
        </w:rPr>
        <w:sectPr>
          <w:headerReference w:type="default" r:id="rId5"/>
          <w:type w:val="continuous"/>
          <w:pgSz w:w="12240" w:h="15840"/>
          <w:pgMar w:header="1143" w:footer="0" w:top="1420" w:bottom="280" w:left="1300" w:right="1340"/>
          <w:pgNumType w:start="1"/>
        </w:sectPr>
      </w:pPr>
    </w:p>
    <w:p>
      <w:pPr>
        <w:pStyle w:val="BodyText"/>
        <w:spacing w:before="2"/>
        <w:ind w:right="128"/>
        <w:jc w:val="right"/>
        <w:rPr>
          <w:b w:val="0"/>
        </w:rPr>
      </w:pPr>
      <w:r>
        <w:rPr>
          <w:b w:val="0"/>
        </w:rPr>
        <w:t>Page</w:t>
      </w:r>
      <w:r>
        <w:rPr>
          <w:b w:val="0"/>
          <w:spacing w:val="36"/>
        </w:rPr>
        <w:t> </w:t>
      </w:r>
      <w:r>
        <w:rPr>
          <w:b w:val="0"/>
          <w:spacing w:val="-10"/>
        </w:rPr>
        <w:t>2</w:t>
      </w:r>
    </w:p>
    <w:p>
      <w:pPr>
        <w:pStyle w:val="BodyText"/>
        <w:rPr>
          <w:b w:val="0"/>
          <w:sz w:val="28"/>
        </w:rPr>
      </w:pPr>
    </w:p>
    <w:p>
      <w:pPr>
        <w:pStyle w:val="BodyText"/>
        <w:spacing w:before="10"/>
        <w:rPr>
          <w:b w:val="0"/>
          <w:sz w:val="23"/>
        </w:rPr>
      </w:pPr>
    </w:p>
    <w:p>
      <w:pPr>
        <w:pStyle w:val="ListParagraph"/>
        <w:numPr>
          <w:ilvl w:val="0"/>
          <w:numId w:val="1"/>
        </w:numPr>
        <w:tabs>
          <w:tab w:pos="1200" w:val="left" w:leader="none"/>
        </w:tabs>
        <w:spacing w:line="240" w:lineRule="auto" w:before="0" w:after="0"/>
        <w:ind w:left="1199" w:right="117" w:hanging="360"/>
        <w:jc w:val="both"/>
        <w:rPr>
          <w:b w:val="0"/>
          <w:sz w:val="26"/>
        </w:rPr>
      </w:pPr>
      <w:r>
        <w:rPr>
          <w:b w:val="0"/>
          <w:position w:val="1"/>
          <w:sz w:val="26"/>
        </w:rPr>
        <w:t>INVITES </w:t>
      </w:r>
      <w:r>
        <w:rPr>
          <w:b w:val="0"/>
          <w:sz w:val="26"/>
        </w:rPr>
        <w:t>the UNDP and other donors to provide the required financial assistance for the OAU Panel of Experts and all the activities prior to the 4</w:t>
      </w:r>
      <w:r>
        <w:rPr>
          <w:b w:val="0"/>
          <w:position w:val="7"/>
          <w:sz w:val="17"/>
        </w:rPr>
        <w:t>th</w:t>
      </w:r>
      <w:r>
        <w:rPr>
          <w:b w:val="0"/>
          <w:spacing w:val="40"/>
          <w:position w:val="7"/>
          <w:sz w:val="17"/>
        </w:rPr>
        <w:t> </w:t>
      </w:r>
      <w:r>
        <w:rPr>
          <w:b w:val="0"/>
          <w:sz w:val="26"/>
        </w:rPr>
        <w:t>OAU/AEC Ministers of Trade Conference scheduled to take place in Abuja, Nigeria in September 2001;</w:t>
      </w:r>
    </w:p>
    <w:p>
      <w:pPr>
        <w:pStyle w:val="BodyText"/>
        <w:spacing w:before="2"/>
        <w:rPr>
          <w:b w:val="0"/>
          <w:sz w:val="25"/>
        </w:rPr>
      </w:pPr>
    </w:p>
    <w:p>
      <w:pPr>
        <w:pStyle w:val="ListParagraph"/>
        <w:numPr>
          <w:ilvl w:val="0"/>
          <w:numId w:val="1"/>
        </w:numPr>
        <w:tabs>
          <w:tab w:pos="1200" w:val="left" w:leader="none"/>
        </w:tabs>
        <w:spacing w:line="240" w:lineRule="auto" w:before="0" w:after="0"/>
        <w:ind w:left="1199" w:right="106" w:hanging="361"/>
        <w:jc w:val="both"/>
        <w:rPr>
          <w:b w:val="0"/>
          <w:sz w:val="26"/>
        </w:rPr>
      </w:pPr>
      <w:r>
        <w:rPr>
          <w:b w:val="0"/>
          <w:position w:val="1"/>
          <w:sz w:val="26"/>
        </w:rPr>
        <w:t>REQUESTS </w:t>
      </w:r>
      <w:r>
        <w:rPr>
          <w:b w:val="0"/>
          <w:sz w:val="26"/>
        </w:rPr>
        <w:t>the General Secretariat to coordinate the</w:t>
      </w:r>
      <w:r>
        <w:rPr>
          <w:b w:val="0"/>
          <w:spacing w:val="40"/>
          <w:sz w:val="26"/>
        </w:rPr>
        <w:t> </w:t>
      </w:r>
      <w:r>
        <w:rPr>
          <w:b w:val="0"/>
          <w:sz w:val="26"/>
        </w:rPr>
        <w:t>preparatory activities for the conference in</w:t>
      </w:r>
      <w:r>
        <w:rPr>
          <w:b w:val="0"/>
          <w:spacing w:val="-2"/>
          <w:sz w:val="26"/>
        </w:rPr>
        <w:t> </w:t>
      </w:r>
      <w:r>
        <w:rPr>
          <w:b w:val="0"/>
          <w:sz w:val="26"/>
        </w:rPr>
        <w:t>collaboration</w:t>
      </w:r>
      <w:r>
        <w:rPr>
          <w:b w:val="0"/>
          <w:spacing w:val="-2"/>
          <w:sz w:val="26"/>
        </w:rPr>
        <w:t> </w:t>
      </w:r>
      <w:r>
        <w:rPr>
          <w:b w:val="0"/>
          <w:sz w:val="26"/>
        </w:rPr>
        <w:t>with</w:t>
      </w:r>
      <w:r>
        <w:rPr>
          <w:b w:val="0"/>
          <w:spacing w:val="-2"/>
          <w:sz w:val="26"/>
        </w:rPr>
        <w:t> </w:t>
      </w:r>
      <w:r>
        <w:rPr>
          <w:b w:val="0"/>
          <w:sz w:val="26"/>
        </w:rPr>
        <w:t>the Regional Economic Communities (RECs) and other institutions that support Africa’s interests.</w:t>
      </w:r>
      <w:r>
        <w:rPr>
          <w:b w:val="0"/>
          <w:spacing w:val="40"/>
          <w:sz w:val="26"/>
        </w:rPr>
        <w:t> </w:t>
      </w:r>
      <w:r>
        <w:rPr>
          <w:b w:val="0"/>
          <w:sz w:val="26"/>
        </w:rPr>
        <w:t>To this end, the work of the OAU Panel of Experts on Trade Negotiations should be strengthened in order to provide the required technical assistance to Member </w:t>
      </w:r>
      <w:r>
        <w:rPr>
          <w:b w:val="0"/>
          <w:spacing w:val="-2"/>
          <w:sz w:val="26"/>
        </w:rPr>
        <w:t>States;</w:t>
      </w:r>
    </w:p>
    <w:p>
      <w:pPr>
        <w:pStyle w:val="BodyText"/>
        <w:spacing w:before="1"/>
        <w:rPr>
          <w:b w:val="0"/>
          <w:sz w:val="25"/>
        </w:rPr>
      </w:pPr>
    </w:p>
    <w:p>
      <w:pPr>
        <w:pStyle w:val="ListParagraph"/>
        <w:numPr>
          <w:ilvl w:val="0"/>
          <w:numId w:val="1"/>
        </w:numPr>
        <w:tabs>
          <w:tab w:pos="1200" w:val="left" w:leader="none"/>
        </w:tabs>
        <w:spacing w:line="240" w:lineRule="auto" w:before="0" w:after="0"/>
        <w:ind w:left="1199" w:right="116" w:hanging="361"/>
        <w:jc w:val="both"/>
        <w:rPr>
          <w:b w:val="0"/>
          <w:sz w:val="26"/>
        </w:rPr>
      </w:pPr>
      <w:r>
        <w:rPr>
          <w:b w:val="0"/>
          <w:position w:val="1"/>
          <w:sz w:val="26"/>
        </w:rPr>
        <w:t>FURTHER REQUESTS </w:t>
      </w:r>
      <w:r>
        <w:rPr>
          <w:b w:val="0"/>
          <w:sz w:val="26"/>
        </w:rPr>
        <w:t>the General Secretariat to ensure</w:t>
      </w:r>
      <w:r>
        <w:rPr>
          <w:b w:val="0"/>
          <w:spacing w:val="80"/>
          <w:sz w:val="26"/>
        </w:rPr>
        <w:t> </w:t>
      </w:r>
      <w:r>
        <w:rPr>
          <w:b w:val="0"/>
          <w:sz w:val="26"/>
        </w:rPr>
        <w:t>effective</w:t>
      </w:r>
      <w:r>
        <w:rPr>
          <w:b w:val="0"/>
          <w:spacing w:val="-1"/>
          <w:sz w:val="26"/>
        </w:rPr>
        <w:t> </w:t>
      </w:r>
      <w:r>
        <w:rPr>
          <w:b w:val="0"/>
          <w:sz w:val="26"/>
        </w:rPr>
        <w:t>coordination</w:t>
      </w:r>
      <w:r>
        <w:rPr>
          <w:b w:val="0"/>
          <w:spacing w:val="-5"/>
          <w:sz w:val="26"/>
        </w:rPr>
        <w:t> </w:t>
      </w:r>
      <w:r>
        <w:rPr>
          <w:b w:val="0"/>
          <w:sz w:val="26"/>
        </w:rPr>
        <w:t>of</w:t>
      </w:r>
      <w:r>
        <w:rPr>
          <w:b w:val="0"/>
          <w:spacing w:val="-4"/>
          <w:sz w:val="26"/>
        </w:rPr>
        <w:t> </w:t>
      </w:r>
      <w:r>
        <w:rPr>
          <w:b w:val="0"/>
          <w:sz w:val="26"/>
        </w:rPr>
        <w:t>Member</w:t>
      </w:r>
      <w:r>
        <w:rPr>
          <w:b w:val="0"/>
          <w:spacing w:val="-4"/>
          <w:sz w:val="26"/>
        </w:rPr>
        <w:t> </w:t>
      </w:r>
      <w:r>
        <w:rPr>
          <w:b w:val="0"/>
          <w:sz w:val="26"/>
        </w:rPr>
        <w:t>States</w:t>
      </w:r>
      <w:r>
        <w:rPr>
          <w:b w:val="0"/>
          <w:spacing w:val="-5"/>
          <w:sz w:val="26"/>
        </w:rPr>
        <w:t> </w:t>
      </w:r>
      <w:r>
        <w:rPr>
          <w:b w:val="0"/>
          <w:sz w:val="26"/>
        </w:rPr>
        <w:t>and</w:t>
      </w:r>
      <w:r>
        <w:rPr>
          <w:b w:val="0"/>
          <w:spacing w:val="-5"/>
          <w:sz w:val="26"/>
        </w:rPr>
        <w:t> </w:t>
      </w:r>
      <w:r>
        <w:rPr>
          <w:b w:val="0"/>
          <w:sz w:val="26"/>
        </w:rPr>
        <w:t>facilitate</w:t>
      </w:r>
      <w:r>
        <w:rPr>
          <w:b w:val="0"/>
          <w:spacing w:val="-1"/>
          <w:sz w:val="26"/>
        </w:rPr>
        <w:t> </w:t>
      </w:r>
      <w:r>
        <w:rPr>
          <w:b w:val="0"/>
          <w:sz w:val="26"/>
        </w:rPr>
        <w:t>the</w:t>
      </w:r>
      <w:r>
        <w:rPr>
          <w:b w:val="0"/>
          <w:spacing w:val="-1"/>
          <w:sz w:val="26"/>
        </w:rPr>
        <w:t> </w:t>
      </w:r>
      <w:r>
        <w:rPr>
          <w:b w:val="0"/>
          <w:sz w:val="26"/>
        </w:rPr>
        <w:t>sharing of experiences and harmonization of their positions and views emanating from all the RECs during the preparatory process.</w:t>
      </w:r>
    </w:p>
    <w:sectPr>
      <w:pgSz w:w="12240" w:h="15840"/>
      <w:pgMar w:header="1143" w:footer="0" w:top="142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6.079987pt;margin-top:56.291203pt;width:133.6pt;height:16.6pt;mso-position-horizontal-relative:page;mso-position-vertical-relative:page;z-index:-15758336" type="#_x0000_t202" id="docshape1" filled="false" stroked="false">
          <v:textbox inset="0,0,0,0">
            <w:txbxContent>
              <w:p>
                <w:pPr>
                  <w:pStyle w:val="BodyText"/>
                  <w:spacing w:before="6"/>
                  <w:ind w:left="20"/>
                  <w:rPr>
                    <w:b w:val="0"/>
                  </w:rPr>
                </w:pPr>
                <w:r>
                  <w:rPr>
                    <w:b w:val="0"/>
                  </w:rPr>
                  <w:t>CM/Dec.42</w:t>
                </w:r>
                <w:r>
                  <w:rPr>
                    <w:b w:val="0"/>
                    <w:spacing w:val="39"/>
                  </w:rPr>
                  <w:t> </w:t>
                </w:r>
                <w:r>
                  <w:rPr>
                    <w:b w:val="0"/>
                    <w:spacing w:val="7"/>
                  </w:rPr>
                  <w:t>(LXXIV)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9" w:hanging="721"/>
        <w:jc w:val="left"/>
      </w:pPr>
      <w:rPr>
        <w:rFonts w:hint="default" w:ascii="Bookman Old Style" w:hAnsi="Bookman Old Style" w:eastAsia="Bookman Old Style" w:cs="Bookman Old Style"/>
        <w:b w:val="0"/>
        <w:bCs w:val="0"/>
        <w:i w:val="0"/>
        <w:iCs w:val="0"/>
        <w:w w:val="99"/>
        <w:sz w:val="26"/>
        <w:szCs w:val="26"/>
        <w:lang w:val="en-US" w:eastAsia="en-US" w:bidi="ar-SA"/>
      </w:rPr>
    </w:lvl>
    <w:lvl w:ilvl="1">
      <w:start w:val="0"/>
      <w:numFmt w:val="bullet"/>
      <w:lvlText w:val="•"/>
      <w:lvlJc w:val="left"/>
      <w:pPr>
        <w:ind w:left="2364" w:hanging="721"/>
      </w:pPr>
      <w:rPr>
        <w:rFonts w:hint="default"/>
        <w:lang w:val="en-US" w:eastAsia="en-US" w:bidi="ar-SA"/>
      </w:rPr>
    </w:lvl>
    <w:lvl w:ilvl="2">
      <w:start w:val="0"/>
      <w:numFmt w:val="bullet"/>
      <w:lvlText w:val="•"/>
      <w:lvlJc w:val="left"/>
      <w:pPr>
        <w:ind w:left="3168" w:hanging="721"/>
      </w:pPr>
      <w:rPr>
        <w:rFonts w:hint="default"/>
        <w:lang w:val="en-US" w:eastAsia="en-US" w:bidi="ar-SA"/>
      </w:rPr>
    </w:lvl>
    <w:lvl w:ilvl="3">
      <w:start w:val="0"/>
      <w:numFmt w:val="bullet"/>
      <w:lvlText w:val="•"/>
      <w:lvlJc w:val="left"/>
      <w:pPr>
        <w:ind w:left="3972" w:hanging="721"/>
      </w:pPr>
      <w:rPr>
        <w:rFonts w:hint="default"/>
        <w:lang w:val="en-US" w:eastAsia="en-US" w:bidi="ar-SA"/>
      </w:rPr>
    </w:lvl>
    <w:lvl w:ilvl="4">
      <w:start w:val="0"/>
      <w:numFmt w:val="bullet"/>
      <w:lvlText w:val="•"/>
      <w:lvlJc w:val="left"/>
      <w:pPr>
        <w:ind w:left="4776" w:hanging="721"/>
      </w:pPr>
      <w:rPr>
        <w:rFonts w:hint="default"/>
        <w:lang w:val="en-US" w:eastAsia="en-US" w:bidi="ar-SA"/>
      </w:rPr>
    </w:lvl>
    <w:lvl w:ilvl="5">
      <w:start w:val="0"/>
      <w:numFmt w:val="bullet"/>
      <w:lvlText w:val="•"/>
      <w:lvlJc w:val="left"/>
      <w:pPr>
        <w:ind w:left="5580" w:hanging="721"/>
      </w:pPr>
      <w:rPr>
        <w:rFonts w:hint="default"/>
        <w:lang w:val="en-US" w:eastAsia="en-US" w:bidi="ar-SA"/>
      </w:rPr>
    </w:lvl>
    <w:lvl w:ilvl="6">
      <w:start w:val="0"/>
      <w:numFmt w:val="bullet"/>
      <w:lvlText w:val="•"/>
      <w:lvlJc w:val="left"/>
      <w:pPr>
        <w:ind w:left="6384" w:hanging="721"/>
      </w:pPr>
      <w:rPr>
        <w:rFonts w:hint="default"/>
        <w:lang w:val="en-US" w:eastAsia="en-US" w:bidi="ar-SA"/>
      </w:rPr>
    </w:lvl>
    <w:lvl w:ilvl="7">
      <w:start w:val="0"/>
      <w:numFmt w:val="bullet"/>
      <w:lvlText w:val="•"/>
      <w:lvlJc w:val="left"/>
      <w:pPr>
        <w:ind w:left="7188" w:hanging="721"/>
      </w:pPr>
      <w:rPr>
        <w:rFonts w:hint="default"/>
        <w:lang w:val="en-US" w:eastAsia="en-US" w:bidi="ar-SA"/>
      </w:rPr>
    </w:lvl>
    <w:lvl w:ilvl="8">
      <w:start w:val="0"/>
      <w:numFmt w:val="bullet"/>
      <w:lvlText w:val="•"/>
      <w:lvlJc w:val="left"/>
      <w:pPr>
        <w:ind w:left="7992"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6"/>
      <w:szCs w:val="26"/>
      <w:lang w:val="en-US" w:eastAsia="en-US" w:bidi="ar-SA"/>
    </w:rPr>
  </w:style>
  <w:style w:styleId="Title" w:type="paragraph">
    <w:name w:val="Title"/>
    <w:basedOn w:val="Normal"/>
    <w:uiPriority w:val="1"/>
    <w:qFormat/>
    <w:pPr>
      <w:spacing w:before="22"/>
      <w:ind w:right="131"/>
      <w:jc w:val="right"/>
    </w:pPr>
    <w:rPr>
      <w:rFonts w:ascii="Bookman Old Style" w:hAnsi="Bookman Old Style" w:eastAsia="Bookman Old Style" w:cs="Bookman Old Style"/>
      <w:sz w:val="32"/>
      <w:szCs w:val="32"/>
      <w:lang w:val="en-US" w:eastAsia="en-US" w:bidi="ar-SA"/>
    </w:rPr>
  </w:style>
  <w:style w:styleId="ListParagraph" w:type="paragraph">
    <w:name w:val="List Paragraph"/>
    <w:basedOn w:val="Normal"/>
    <w:uiPriority w:val="1"/>
    <w:qFormat/>
    <w:pPr>
      <w:ind w:left="1199" w:right="116" w:hanging="361"/>
      <w:jc w:val="both"/>
    </w:pPr>
    <w:rPr>
      <w:rFonts w:ascii="Bookman Old Style" w:hAnsi="Bookman Old Style" w:eastAsia="Bookman Old Style" w:cs="Bookman Old Styl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ADOPTED BY THE SEVENTY-FOURTH ORDINARY SESSION OF THE COUNCIL OF MINISTERS</dc:title>
  <dcterms:created xsi:type="dcterms:W3CDTF">2023-04-11T08:50:15Z</dcterms:created>
  <dcterms:modified xsi:type="dcterms:W3CDTF">2023-04-11T08:50:15Z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Distiller 3.0 for Windows</vt:lpwstr>
  </property>
</Properties>
</file>