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21F" w:rsidRDefault="00903A4C">
      <w:pPr>
        <w:pStyle w:val="BodyText"/>
        <w:spacing w:after="540"/>
        <w:jc w:val="center"/>
      </w:pPr>
      <w:r>
        <w:rPr>
          <w:b/>
          <w:bCs/>
          <w:u w:val="single"/>
        </w:rPr>
        <w:t>DECISION OF EXECUTIVE COUNCIL ON THE REPORT OF THE THIRD</w:t>
      </w:r>
      <w:r>
        <w:rPr>
          <w:b/>
          <w:bCs/>
          <w:u w:val="single"/>
        </w:rPr>
        <w:br/>
        <w:t>ORDINARY SESSION OF THE AFRICAN MINISTERIAL CONFERENCE ON</w:t>
      </w:r>
      <w:r>
        <w:rPr>
          <w:b/>
          <w:bCs/>
          <w:u w:val="single"/>
        </w:rPr>
        <w:br/>
        <w:t>SCIENCE AND TECHNOLOGY (AMCOST III) - DOC. EX.CL/385 (XII)</w:t>
      </w:r>
    </w:p>
    <w:p w:rsidR="00FD421F" w:rsidRDefault="00903A4C">
      <w:pPr>
        <w:pStyle w:val="Heading10"/>
        <w:keepNext/>
        <w:keepLines/>
        <w:spacing w:after="280"/>
        <w:jc w:val="both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FD421F" w:rsidRDefault="00903A4C" w:rsidP="00903A4C">
      <w:pPr>
        <w:pStyle w:val="BodyText"/>
        <w:tabs>
          <w:tab w:val="left" w:pos="1090"/>
        </w:tabs>
        <w:ind w:left="1060" w:hanging="3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and Ministerial </w:t>
      </w:r>
      <w:r>
        <w:t>Decisions of the Third Ordinary Session of the African Ministerial Conference on Science and Technology, held in Mombasa Kenya from 12</w:t>
      </w:r>
      <w:r>
        <w:rPr>
          <w:vertAlign w:val="superscript"/>
        </w:rPr>
        <w:t>th</w:t>
      </w:r>
      <w:r>
        <w:t xml:space="preserve"> to 16</w:t>
      </w:r>
      <w:r>
        <w:rPr>
          <w:vertAlign w:val="superscript"/>
        </w:rPr>
        <w:t>th</w:t>
      </w:r>
      <w:r>
        <w:t xml:space="preserve"> November 2007;</w:t>
      </w:r>
    </w:p>
    <w:p w:rsidR="00FD421F" w:rsidRDefault="00903A4C" w:rsidP="00903A4C">
      <w:pPr>
        <w:pStyle w:val="BodyText"/>
        <w:tabs>
          <w:tab w:val="left" w:pos="1090"/>
        </w:tabs>
        <w:ind w:left="1060" w:hanging="3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 xml:space="preserve">the conclusions and recommendations of the Session of the African Ministerial Conference </w:t>
      </w:r>
      <w:r>
        <w:t>on Science and Technology as follows:</w:t>
      </w:r>
    </w:p>
    <w:p w:rsidR="00FD421F" w:rsidRDefault="00903A4C" w:rsidP="00903A4C">
      <w:pPr>
        <w:pStyle w:val="BodyText"/>
        <w:tabs>
          <w:tab w:val="left" w:pos="1439"/>
        </w:tabs>
        <w:ind w:left="1440" w:hanging="360"/>
        <w:jc w:val="both"/>
      </w:pPr>
      <w:bookmarkStart w:id="5" w:name="bookmark5"/>
      <w:bookmarkEnd w:id="5"/>
      <w:r>
        <w:t>a.</w:t>
      </w:r>
      <w:r>
        <w:tab/>
      </w:r>
      <w:r>
        <w:rPr>
          <w:b/>
          <w:bCs/>
        </w:rPr>
        <w:t xml:space="preserve">REQUESTS </w:t>
      </w:r>
      <w:r>
        <w:t>Member States and RECs to champion the implementation and domestication of Africa’s Science and Technology Consolidated Plan of Action at the local, national and regional levels;</w:t>
      </w:r>
    </w:p>
    <w:p w:rsidR="00FD421F" w:rsidRDefault="00903A4C" w:rsidP="00903A4C">
      <w:pPr>
        <w:pStyle w:val="BodyText"/>
        <w:tabs>
          <w:tab w:val="left" w:pos="1439"/>
        </w:tabs>
        <w:ind w:left="1440" w:hanging="360"/>
        <w:jc w:val="both"/>
      </w:pPr>
      <w:bookmarkStart w:id="6" w:name="bookmark6"/>
      <w:bookmarkEnd w:id="6"/>
      <w:r>
        <w:t>b.</w:t>
      </w:r>
      <w:r>
        <w:tab/>
      </w:r>
      <w:r>
        <w:rPr>
          <w:b/>
          <w:bCs/>
        </w:rPr>
        <w:t xml:space="preserve">SUPPORTS </w:t>
      </w:r>
      <w:r>
        <w:t xml:space="preserve">the formation of the </w:t>
      </w:r>
      <w:r>
        <w:t xml:space="preserve">Pan-African Association of African Women in Science and Technology and </w:t>
      </w:r>
      <w:r>
        <w:rPr>
          <w:b/>
          <w:bCs/>
        </w:rPr>
        <w:t xml:space="preserve">REQUESTS </w:t>
      </w:r>
      <w:r>
        <w:t>the Commission and Member States to gather gender-disaggregated data about women in science and technology at country level in order to formulate concrete initiatives and progr</w:t>
      </w:r>
      <w:r>
        <w:t>ammes for women;</w:t>
      </w:r>
    </w:p>
    <w:p w:rsidR="00FD421F" w:rsidRDefault="00903A4C" w:rsidP="00903A4C">
      <w:pPr>
        <w:pStyle w:val="BodyText"/>
        <w:tabs>
          <w:tab w:val="left" w:pos="1439"/>
        </w:tabs>
        <w:ind w:left="1440" w:hanging="360"/>
        <w:jc w:val="both"/>
      </w:pPr>
      <w:bookmarkStart w:id="7" w:name="bookmark7"/>
      <w:bookmarkEnd w:id="7"/>
      <w:r>
        <w:t>c.</w:t>
      </w:r>
      <w:r>
        <w:tab/>
      </w:r>
      <w:r>
        <w:rPr>
          <w:b/>
          <w:bCs/>
        </w:rPr>
        <w:t xml:space="preserve">ALSO REQUESTS </w:t>
      </w:r>
      <w:r>
        <w:t xml:space="preserve">the AU Commission and NEPAD to prepare a common framework coordinated by the Bureau of AMCOST and the Bureau of the African Ministerial Conference on Environment (AMCEN) in order to determine the rationale and modalities for </w:t>
      </w:r>
      <w:r>
        <w:t>establishing a panel on climate change;</w:t>
      </w:r>
    </w:p>
    <w:p w:rsidR="00FD421F" w:rsidRDefault="00903A4C" w:rsidP="00903A4C">
      <w:pPr>
        <w:pStyle w:val="BodyText"/>
        <w:tabs>
          <w:tab w:val="left" w:pos="1439"/>
        </w:tabs>
        <w:spacing w:line="233" w:lineRule="auto"/>
        <w:ind w:left="1440" w:hanging="360"/>
        <w:jc w:val="both"/>
      </w:pPr>
      <w:bookmarkStart w:id="8" w:name="bookmark8"/>
      <w:bookmarkEnd w:id="8"/>
      <w:r>
        <w:t>d.</w:t>
      </w:r>
      <w:r>
        <w:tab/>
      </w:r>
      <w:r>
        <w:rPr>
          <w:b/>
          <w:bCs/>
        </w:rPr>
        <w:t xml:space="preserve">FURTHER REQUESTS </w:t>
      </w:r>
      <w:r>
        <w:t>the AU Commission to present the Revised Model Law on Biosafety to all relevant departments and sectors in Member States for their comments;</w:t>
      </w:r>
    </w:p>
    <w:p w:rsidR="00FD421F" w:rsidRDefault="00903A4C" w:rsidP="00903A4C">
      <w:pPr>
        <w:pStyle w:val="BodyText"/>
        <w:tabs>
          <w:tab w:val="left" w:pos="1439"/>
        </w:tabs>
        <w:ind w:left="1060"/>
        <w:jc w:val="both"/>
      </w:pPr>
      <w:bookmarkStart w:id="9" w:name="bookmark9"/>
      <w:bookmarkEnd w:id="9"/>
      <w:r>
        <w:t>e.</w:t>
      </w:r>
      <w:r>
        <w:tab/>
      </w:r>
      <w:r>
        <w:rPr>
          <w:b/>
          <w:bCs/>
        </w:rPr>
        <w:t xml:space="preserve">REQUESTS </w:t>
      </w:r>
      <w:r>
        <w:t>the Commission in Consultation with Member States</w:t>
      </w:r>
      <w:r>
        <w:t xml:space="preserve"> to:</w:t>
      </w:r>
    </w:p>
    <w:p w:rsidR="00FD421F" w:rsidRDefault="00903A4C" w:rsidP="00903A4C">
      <w:pPr>
        <w:pStyle w:val="BodyText"/>
        <w:tabs>
          <w:tab w:val="left" w:pos="1686"/>
        </w:tabs>
        <w:ind w:left="1680" w:hanging="240"/>
        <w:jc w:val="both"/>
      </w:pPr>
      <w:bookmarkStart w:id="10" w:name="bookmark10"/>
      <w:bookmarkEnd w:id="10"/>
      <w:r>
        <w:t>i)</w:t>
      </w:r>
      <w:r>
        <w:tab/>
      </w:r>
      <w:r>
        <w:t>Develop a comprehensive framework on intellectual property, individual and community rights to protect traditional knowledge and traditional cultural expressions, including the centralization of all matters related to intellectual property, individual</w:t>
      </w:r>
      <w:r>
        <w:t xml:space="preserve"> and community rights;</w:t>
      </w:r>
    </w:p>
    <w:p w:rsidR="00FD421F" w:rsidRDefault="00903A4C" w:rsidP="00903A4C">
      <w:pPr>
        <w:pStyle w:val="BodyText"/>
        <w:tabs>
          <w:tab w:val="left" w:pos="1738"/>
        </w:tabs>
        <w:ind w:left="1680" w:hanging="240"/>
        <w:jc w:val="both"/>
      </w:pPr>
      <w:bookmarkStart w:id="11" w:name="bookmark11"/>
      <w:bookmarkEnd w:id="11"/>
      <w:r>
        <w:t>ii)</w:t>
      </w:r>
      <w:r>
        <w:tab/>
      </w:r>
      <w:r>
        <w:t xml:space="preserve">Develop a bio-prospecting policy framework that ensures beneficial utilization and equitable commercialisation of biotic resources, including the creation of a central national control system to manage bio-prospecting affairs in all </w:t>
      </w:r>
      <w:r>
        <w:t>their diversity.</w:t>
      </w:r>
    </w:p>
    <w:sectPr w:rsidR="00FD421F">
      <w:pgSz w:w="12240" w:h="16834"/>
      <w:pgMar w:top="2328" w:right="1537" w:bottom="1691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03A4C">
      <w:r>
        <w:separator/>
      </w:r>
    </w:p>
  </w:endnote>
  <w:endnote w:type="continuationSeparator" w:id="0">
    <w:p w:rsidR="00000000" w:rsidRDefault="0090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21F" w:rsidRDefault="00903A4C">
      <w:r>
        <w:separator/>
      </w:r>
    </w:p>
  </w:footnote>
  <w:footnote w:type="continuationSeparator" w:id="0">
    <w:p w:rsidR="00FD421F" w:rsidRDefault="0090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AB9"/>
    <w:multiLevelType w:val="multilevel"/>
    <w:tmpl w:val="04D0DB0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A4552"/>
    <w:multiLevelType w:val="multilevel"/>
    <w:tmpl w:val="4D483C2A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21525"/>
    <w:multiLevelType w:val="multilevel"/>
    <w:tmpl w:val="CA3AAEE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7524565">
    <w:abstractNumId w:val="0"/>
  </w:num>
  <w:num w:numId="2" w16cid:durableId="684674623">
    <w:abstractNumId w:val="2"/>
  </w:num>
  <w:num w:numId="3" w16cid:durableId="154351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1F"/>
    <w:rsid w:val="00903A4C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2022-10-26T06:10:00Z</dcterms:created>
  <dcterms:modified xsi:type="dcterms:W3CDTF">2022-10-26T06:10:00Z</dcterms:modified>
</cp:coreProperties>
</file>