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CD1" w:rsidRDefault="007004AB">
      <w:pPr>
        <w:pStyle w:val="BodyText"/>
        <w:spacing w:after="260"/>
        <w:jc w:val="center"/>
      </w:pPr>
      <w:r>
        <w:rPr>
          <w:b/>
          <w:bCs/>
        </w:rPr>
        <w:t>DECISION ON AFRICAN CANDIDATURES WITHIN THE</w:t>
      </w:r>
      <w:r>
        <w:rPr>
          <w:b/>
          <w:bCs/>
        </w:rPr>
        <w:br/>
        <w:t>INTERNATIONAL SYSTEM</w:t>
      </w:r>
      <w:r>
        <w:rPr>
          <w:b/>
          <w:bCs/>
        </w:rPr>
        <w:br/>
        <w:t>Doc.EX.CL/531(XV)</w:t>
      </w:r>
    </w:p>
    <w:p w:rsidR="005E2CD1" w:rsidRDefault="007004AB">
      <w:pPr>
        <w:pStyle w:val="Heading10"/>
        <w:keepNext/>
        <w:keepLines/>
        <w:spacing w:after="520"/>
      </w:pPr>
      <w:bookmarkStart w:id="0" w:name="bookmark0"/>
      <w:bookmarkStart w:id="1" w:name="bookmark1"/>
      <w:bookmarkStart w:id="2" w:name="bookmark2"/>
      <w:r>
        <w:t>The Executive Council,</w:t>
      </w:r>
      <w:bookmarkEnd w:id="0"/>
      <w:bookmarkEnd w:id="1"/>
      <w:bookmarkEnd w:id="2"/>
    </w:p>
    <w:p w:rsidR="005E2CD1" w:rsidRDefault="007004AB" w:rsidP="007004AB">
      <w:pPr>
        <w:pStyle w:val="BodyText"/>
        <w:tabs>
          <w:tab w:val="left" w:pos="717"/>
        </w:tabs>
        <w:spacing w:after="260"/>
      </w:pPr>
      <w:bookmarkStart w:id="3" w:name="bookmark3"/>
      <w:bookmarkEnd w:id="3"/>
      <w:r>
        <w:rPr>
          <w:b/>
          <w:bCs/>
        </w:rPr>
        <w:t>1.</w:t>
      </w:r>
      <w:r>
        <w:rPr>
          <w:b/>
          <w:bCs/>
        </w:rPr>
        <w:tab/>
      </w:r>
      <w:r>
        <w:rPr>
          <w:b/>
          <w:bCs/>
        </w:rPr>
        <w:t xml:space="preserve">TAKES NOTE </w:t>
      </w:r>
      <w:r>
        <w:t>of the Report of the Ministerial Committee on Candidatures;</w:t>
      </w:r>
    </w:p>
    <w:p w:rsidR="005E2CD1" w:rsidRDefault="007004AB" w:rsidP="007004AB">
      <w:pPr>
        <w:pStyle w:val="BodyText"/>
        <w:tabs>
          <w:tab w:val="left" w:pos="717"/>
        </w:tabs>
        <w:spacing w:after="260"/>
      </w:pPr>
      <w:bookmarkStart w:id="4" w:name="bookmark4"/>
      <w:bookmarkEnd w:id="4"/>
      <w:r>
        <w:rPr>
          <w:b/>
          <w:bCs/>
        </w:rPr>
        <w:t>2.</w:t>
      </w:r>
      <w:r>
        <w:rPr>
          <w:b/>
          <w:bCs/>
        </w:rPr>
        <w:tab/>
      </w:r>
      <w:r>
        <w:rPr>
          <w:b/>
          <w:bCs/>
        </w:rPr>
        <w:t xml:space="preserve">APPROVES </w:t>
      </w:r>
      <w:r>
        <w:t>the recommendations contained therein;</w:t>
      </w:r>
    </w:p>
    <w:p w:rsidR="005E2CD1" w:rsidRDefault="007004AB" w:rsidP="007004AB">
      <w:pPr>
        <w:pStyle w:val="BodyText"/>
        <w:tabs>
          <w:tab w:val="left" w:pos="717"/>
        </w:tabs>
        <w:spacing w:after="260"/>
      </w:pPr>
      <w:bookmarkStart w:id="5" w:name="bookmark5"/>
      <w:bookmarkEnd w:id="5"/>
      <w:r>
        <w:rPr>
          <w:b/>
          <w:bCs/>
        </w:rPr>
        <w:t>3.</w:t>
      </w:r>
      <w:r>
        <w:rPr>
          <w:b/>
          <w:bCs/>
        </w:rPr>
        <w:tab/>
      </w:r>
      <w:r>
        <w:rPr>
          <w:b/>
          <w:bCs/>
        </w:rPr>
        <w:t xml:space="preserve">ENDORSES </w:t>
      </w:r>
      <w:r>
        <w:t xml:space="preserve">the </w:t>
      </w:r>
      <w:r>
        <w:t>following Candidatures:</w:t>
      </w:r>
    </w:p>
    <w:p w:rsidR="005E2CD1" w:rsidRDefault="007004AB" w:rsidP="007004AB">
      <w:pPr>
        <w:pStyle w:val="BodyText"/>
        <w:tabs>
          <w:tab w:val="left" w:pos="1303"/>
        </w:tabs>
        <w:spacing w:after="260"/>
        <w:ind w:left="1300" w:hanging="560"/>
        <w:jc w:val="both"/>
      </w:pPr>
      <w:bookmarkStart w:id="6" w:name="bookmark6"/>
      <w:bookmarkEnd w:id="6"/>
      <w:r>
        <w:rPr>
          <w:b/>
          <w:bCs/>
        </w:rPr>
        <w:t>i)</w:t>
      </w:r>
      <w:r>
        <w:rPr>
          <w:b/>
          <w:bCs/>
        </w:rPr>
        <w:tab/>
      </w:r>
      <w:r>
        <w:t>The Republic of Cameroon for membership of the Board of Governors of the International Atomic Energy Agency (IAEA) for the period 2009-2011;</w:t>
      </w:r>
    </w:p>
    <w:p w:rsidR="005E2CD1" w:rsidRDefault="007004AB" w:rsidP="007004AB">
      <w:pPr>
        <w:pStyle w:val="BodyText"/>
        <w:tabs>
          <w:tab w:val="left" w:pos="1303"/>
        </w:tabs>
        <w:spacing w:after="260"/>
        <w:ind w:left="1300" w:hanging="560"/>
        <w:jc w:val="both"/>
      </w:pPr>
      <w:bookmarkStart w:id="7" w:name="bookmark7"/>
      <w:bookmarkEnd w:id="7"/>
      <w:r>
        <w:rPr>
          <w:b/>
          <w:bCs/>
        </w:rPr>
        <w:t>ii)</w:t>
      </w:r>
      <w:r>
        <w:rPr>
          <w:b/>
          <w:bCs/>
        </w:rPr>
        <w:tab/>
      </w:r>
      <w:r>
        <w:t>The Great Socialist People’s Libyan Arab Jamahiriya for membership in the Board of Governor</w:t>
      </w:r>
      <w:r>
        <w:t>s of the International Atomic Energy Agency (IAEA) for the period 2009- 2011;</w:t>
      </w:r>
    </w:p>
    <w:p w:rsidR="005E2CD1" w:rsidRDefault="007004AB" w:rsidP="007004AB">
      <w:pPr>
        <w:pStyle w:val="BodyText"/>
        <w:tabs>
          <w:tab w:val="left" w:pos="1303"/>
        </w:tabs>
        <w:spacing w:after="260"/>
        <w:ind w:left="1300" w:hanging="560"/>
        <w:jc w:val="both"/>
      </w:pPr>
      <w:bookmarkStart w:id="8" w:name="bookmark8"/>
      <w:bookmarkEnd w:id="8"/>
      <w:r>
        <w:rPr>
          <w:b/>
          <w:bCs/>
        </w:rPr>
        <w:t>iii)</w:t>
      </w:r>
      <w:r>
        <w:rPr>
          <w:b/>
          <w:bCs/>
        </w:rPr>
        <w:tab/>
      </w:r>
      <w:r>
        <w:t>The Republic of Niger for membership of the Board of Governors of the International Atomic Energy Agency (IAEA) for the period 2009- 2011;</w:t>
      </w:r>
    </w:p>
    <w:p w:rsidR="005E2CD1" w:rsidRDefault="007004AB" w:rsidP="007004AB">
      <w:pPr>
        <w:pStyle w:val="BodyText"/>
        <w:tabs>
          <w:tab w:val="left" w:pos="1303"/>
        </w:tabs>
        <w:spacing w:after="260"/>
        <w:ind w:left="1300" w:hanging="560"/>
        <w:jc w:val="both"/>
      </w:pPr>
      <w:bookmarkStart w:id="9" w:name="bookmark9"/>
      <w:bookmarkEnd w:id="9"/>
      <w:r>
        <w:rPr>
          <w:b/>
          <w:bCs/>
        </w:rPr>
        <w:t>iv)</w:t>
      </w:r>
      <w:r>
        <w:rPr>
          <w:b/>
          <w:bCs/>
        </w:rPr>
        <w:tab/>
      </w:r>
      <w:r>
        <w:t>The Republic of Nigeria for non-permane</w:t>
      </w:r>
      <w:r>
        <w:t>nt seat of the United Nations Security Council for the period 2010-2011;</w:t>
      </w:r>
    </w:p>
    <w:p w:rsidR="005E2CD1" w:rsidRDefault="007004AB" w:rsidP="007004AB">
      <w:pPr>
        <w:pStyle w:val="BodyText"/>
        <w:tabs>
          <w:tab w:val="left" w:pos="1303"/>
        </w:tabs>
        <w:spacing w:after="260"/>
        <w:ind w:left="1300" w:hanging="560"/>
        <w:jc w:val="both"/>
      </w:pPr>
      <w:bookmarkStart w:id="10" w:name="bookmark10"/>
      <w:bookmarkEnd w:id="10"/>
      <w:r>
        <w:rPr>
          <w:b/>
          <w:bCs/>
        </w:rPr>
        <w:t>v)</w:t>
      </w:r>
      <w:r>
        <w:rPr>
          <w:b/>
          <w:bCs/>
        </w:rPr>
        <w:tab/>
      </w:r>
      <w:r>
        <w:t>The Republic of Gabon for non-permanent seat of the United Nations Security Council for the period 2010-2011;</w:t>
      </w:r>
    </w:p>
    <w:p w:rsidR="005E2CD1" w:rsidRDefault="007004AB" w:rsidP="007004AB">
      <w:pPr>
        <w:pStyle w:val="BodyText"/>
        <w:tabs>
          <w:tab w:val="left" w:pos="1303"/>
        </w:tabs>
        <w:spacing w:after="260"/>
        <w:ind w:left="1300" w:hanging="560"/>
        <w:jc w:val="both"/>
      </w:pPr>
      <w:bookmarkStart w:id="11" w:name="bookmark11"/>
      <w:bookmarkEnd w:id="11"/>
      <w:r>
        <w:rPr>
          <w:b/>
          <w:bCs/>
        </w:rPr>
        <w:t>vi)</w:t>
      </w:r>
      <w:r>
        <w:rPr>
          <w:b/>
          <w:bCs/>
        </w:rPr>
        <w:tab/>
      </w:r>
      <w:r>
        <w:t>The Republic of Senegal for membership of the Council of the United Natio</w:t>
      </w:r>
      <w:r>
        <w:t>ns Industrial Development Organization (UNIDO);</w:t>
      </w:r>
    </w:p>
    <w:p w:rsidR="005E2CD1" w:rsidRDefault="007004AB" w:rsidP="007004AB">
      <w:pPr>
        <w:pStyle w:val="BodyText"/>
        <w:tabs>
          <w:tab w:val="left" w:pos="1303"/>
        </w:tabs>
        <w:spacing w:after="260"/>
        <w:ind w:left="1300" w:hanging="560"/>
        <w:jc w:val="both"/>
      </w:pPr>
      <w:bookmarkStart w:id="12" w:name="bookmark12"/>
      <w:bookmarkEnd w:id="12"/>
      <w:r>
        <w:rPr>
          <w:b/>
          <w:bCs/>
        </w:rPr>
        <w:t>vii)</w:t>
      </w:r>
      <w:r>
        <w:rPr>
          <w:b/>
          <w:bCs/>
        </w:rPr>
        <w:tab/>
      </w:r>
      <w:r>
        <w:t>The Arab Republic of Egypt for re-election for membership of the Executive Board of the United Nations Educational, Scientific and Cultural Organization (UNESCO);</w:t>
      </w:r>
    </w:p>
    <w:p w:rsidR="005E2CD1" w:rsidRDefault="007004AB" w:rsidP="007004AB">
      <w:pPr>
        <w:pStyle w:val="BodyText"/>
        <w:tabs>
          <w:tab w:val="left" w:pos="1330"/>
        </w:tabs>
        <w:spacing w:after="260"/>
        <w:ind w:firstLine="740"/>
      </w:pPr>
      <w:bookmarkStart w:id="13" w:name="bookmark13"/>
      <w:bookmarkEnd w:id="13"/>
      <w:r>
        <w:rPr>
          <w:b/>
          <w:bCs/>
        </w:rPr>
        <w:t>viii)</w:t>
      </w:r>
      <w:r>
        <w:rPr>
          <w:b/>
          <w:bCs/>
        </w:rPr>
        <w:tab/>
      </w:r>
      <w:r>
        <w:t xml:space="preserve">Burkina Faso for membership of the Executive </w:t>
      </w:r>
      <w:r>
        <w:t>Board of UNESCO;</w:t>
      </w:r>
    </w:p>
    <w:p w:rsidR="005E2CD1" w:rsidRDefault="007004AB" w:rsidP="007004AB">
      <w:pPr>
        <w:pStyle w:val="BodyText"/>
        <w:tabs>
          <w:tab w:val="left" w:pos="1330"/>
        </w:tabs>
        <w:spacing w:after="260"/>
        <w:ind w:left="1300" w:hanging="560"/>
        <w:jc w:val="both"/>
      </w:pPr>
      <w:bookmarkStart w:id="14" w:name="bookmark14"/>
      <w:bookmarkEnd w:id="14"/>
      <w:r>
        <w:rPr>
          <w:b/>
          <w:bCs/>
        </w:rPr>
        <w:t>ix)</w:t>
      </w:r>
      <w:r>
        <w:rPr>
          <w:b/>
          <w:bCs/>
        </w:rPr>
        <w:tab/>
      </w:r>
      <w:r>
        <w:t>The People’s Democratic Republic of Algeria for re-election for membership of the Executive Board of UNESCO;</w:t>
      </w:r>
    </w:p>
    <w:p w:rsidR="005E2CD1" w:rsidRDefault="007004AB" w:rsidP="007004AB">
      <w:pPr>
        <w:pStyle w:val="BodyText"/>
        <w:tabs>
          <w:tab w:val="left" w:pos="1330"/>
        </w:tabs>
        <w:spacing w:after="260"/>
        <w:ind w:left="1300" w:hanging="560"/>
        <w:jc w:val="both"/>
      </w:pPr>
      <w:bookmarkStart w:id="15" w:name="bookmark15"/>
      <w:bookmarkEnd w:id="15"/>
      <w:r>
        <w:rPr>
          <w:b/>
          <w:bCs/>
        </w:rPr>
        <w:t>x)</w:t>
      </w:r>
      <w:r>
        <w:rPr>
          <w:b/>
          <w:bCs/>
        </w:rPr>
        <w:tab/>
      </w:r>
      <w:r>
        <w:t>The Republic of Uganda for membership of the Council of UNESCO International Bureau of Education;</w:t>
      </w:r>
    </w:p>
    <w:p w:rsidR="005E2CD1" w:rsidRDefault="007004AB" w:rsidP="007004AB">
      <w:pPr>
        <w:pStyle w:val="BodyText"/>
        <w:tabs>
          <w:tab w:val="left" w:pos="1294"/>
        </w:tabs>
        <w:spacing w:after="540"/>
        <w:ind w:left="1280" w:hanging="560"/>
        <w:jc w:val="both"/>
      </w:pPr>
      <w:bookmarkStart w:id="16" w:name="bookmark16"/>
      <w:bookmarkEnd w:id="16"/>
      <w:r>
        <w:rPr>
          <w:b/>
          <w:bCs/>
        </w:rPr>
        <w:t>xi)</w:t>
      </w:r>
      <w:r>
        <w:rPr>
          <w:b/>
          <w:bCs/>
        </w:rPr>
        <w:tab/>
      </w:r>
      <w:r>
        <w:t>The Republic of Uganda for membe</w:t>
      </w:r>
      <w:r>
        <w:t xml:space="preserve">rship of the Intergovernmental Council of </w:t>
      </w:r>
      <w:r>
        <w:lastRenderedPageBreak/>
        <w:t>the International Hydrological Programme (IHP);</w:t>
      </w:r>
    </w:p>
    <w:p w:rsidR="005E2CD1" w:rsidRDefault="007004AB" w:rsidP="007004AB">
      <w:pPr>
        <w:pStyle w:val="BodyText"/>
        <w:tabs>
          <w:tab w:val="left" w:pos="1294"/>
        </w:tabs>
        <w:spacing w:after="260"/>
        <w:ind w:left="1280" w:hanging="560"/>
        <w:jc w:val="both"/>
      </w:pPr>
      <w:bookmarkStart w:id="17" w:name="bookmark17"/>
      <w:bookmarkEnd w:id="17"/>
      <w:r>
        <w:rPr>
          <w:b/>
          <w:bCs/>
        </w:rPr>
        <w:t>xii)</w:t>
      </w:r>
      <w:r>
        <w:rPr>
          <w:b/>
          <w:bCs/>
        </w:rPr>
        <w:tab/>
      </w:r>
      <w:r>
        <w:t>The Republic of Uganda for membership of the Intergovernmental Council for the Development of Communication (IPDC);</w:t>
      </w:r>
    </w:p>
    <w:p w:rsidR="005E2CD1" w:rsidRDefault="007004AB" w:rsidP="007004AB">
      <w:pPr>
        <w:pStyle w:val="BodyText"/>
        <w:tabs>
          <w:tab w:val="left" w:pos="1294"/>
        </w:tabs>
        <w:spacing w:after="260"/>
        <w:ind w:left="1280" w:hanging="560"/>
        <w:jc w:val="both"/>
      </w:pPr>
      <w:bookmarkStart w:id="18" w:name="bookmark18"/>
      <w:bookmarkEnd w:id="18"/>
      <w:r>
        <w:rPr>
          <w:b/>
          <w:bCs/>
        </w:rPr>
        <w:t>xiii)</w:t>
      </w:r>
      <w:r>
        <w:rPr>
          <w:b/>
          <w:bCs/>
        </w:rPr>
        <w:tab/>
      </w:r>
      <w:r>
        <w:t xml:space="preserve">The Republic of Uganda for membership of the </w:t>
      </w:r>
      <w:r>
        <w:t>Intergovernmental Council for the Management of Social Transformation (MOST);</w:t>
      </w:r>
    </w:p>
    <w:p w:rsidR="005E2CD1" w:rsidRDefault="007004AB" w:rsidP="007004AB">
      <w:pPr>
        <w:pStyle w:val="BodyText"/>
        <w:tabs>
          <w:tab w:val="left" w:pos="1294"/>
        </w:tabs>
        <w:spacing w:after="260"/>
        <w:ind w:left="1280" w:hanging="560"/>
        <w:jc w:val="both"/>
      </w:pPr>
      <w:bookmarkStart w:id="19" w:name="bookmark19"/>
      <w:bookmarkEnd w:id="19"/>
      <w:r>
        <w:rPr>
          <w:b/>
          <w:bCs/>
        </w:rPr>
        <w:t>xiv)</w:t>
      </w:r>
      <w:r>
        <w:rPr>
          <w:b/>
          <w:bCs/>
        </w:rPr>
        <w:tab/>
      </w:r>
      <w:r>
        <w:t>The Arab Republic of Egypt for Membership of the Economic and Social Council (ECOSOC) of the United Nations;</w:t>
      </w:r>
    </w:p>
    <w:p w:rsidR="005E2CD1" w:rsidRDefault="007004AB" w:rsidP="007004AB">
      <w:pPr>
        <w:pStyle w:val="BodyText"/>
        <w:tabs>
          <w:tab w:val="left" w:pos="1294"/>
        </w:tabs>
        <w:spacing w:after="260"/>
        <w:ind w:left="1280" w:hanging="560"/>
        <w:jc w:val="both"/>
      </w:pPr>
      <w:bookmarkStart w:id="20" w:name="bookmark20"/>
      <w:bookmarkEnd w:id="20"/>
      <w:r>
        <w:rPr>
          <w:b/>
          <w:bCs/>
        </w:rPr>
        <w:t>xv)</w:t>
      </w:r>
      <w:r>
        <w:rPr>
          <w:b/>
          <w:bCs/>
        </w:rPr>
        <w:tab/>
      </w:r>
      <w:r>
        <w:t>The Arab Republic of Egypt for membership of the International Mariti</w:t>
      </w:r>
      <w:r>
        <w:t>me Organization (IMO);</w:t>
      </w:r>
    </w:p>
    <w:p w:rsidR="005E2CD1" w:rsidRDefault="007004AB" w:rsidP="007004AB">
      <w:pPr>
        <w:pStyle w:val="BodyText"/>
        <w:tabs>
          <w:tab w:val="left" w:pos="728"/>
        </w:tabs>
        <w:spacing w:after="260"/>
      </w:pPr>
      <w:bookmarkStart w:id="21" w:name="bookmark21"/>
      <w:bookmarkEnd w:id="21"/>
      <w:r>
        <w:rPr>
          <w:b/>
          <w:bCs/>
        </w:rPr>
        <w:t>4.</w:t>
      </w:r>
      <w:r>
        <w:rPr>
          <w:b/>
          <w:bCs/>
        </w:rPr>
        <w:tab/>
      </w:r>
      <w:r>
        <w:rPr>
          <w:b/>
          <w:bCs/>
        </w:rPr>
        <w:t xml:space="preserve">ALSO ENDORSES </w:t>
      </w:r>
      <w:r>
        <w:t>the following Candidatures:</w:t>
      </w:r>
    </w:p>
    <w:p w:rsidR="005E2CD1" w:rsidRDefault="007004AB" w:rsidP="007004AB">
      <w:pPr>
        <w:pStyle w:val="BodyText"/>
        <w:tabs>
          <w:tab w:val="left" w:pos="1294"/>
        </w:tabs>
        <w:spacing w:after="260"/>
        <w:ind w:left="1280" w:hanging="560"/>
        <w:jc w:val="both"/>
      </w:pPr>
      <w:bookmarkStart w:id="22" w:name="bookmark22"/>
      <w:bookmarkEnd w:id="22"/>
      <w:r>
        <w:rPr>
          <w:b/>
          <w:bCs/>
        </w:rPr>
        <w:t>i)</w:t>
      </w:r>
      <w:r>
        <w:rPr>
          <w:b/>
          <w:bCs/>
        </w:rPr>
        <w:tab/>
      </w:r>
      <w:r>
        <w:t>Dr. Luis Gomes Sambo from Angola for re-election to the post of Regional Director for Africa of the World Health Organization (WHO);</w:t>
      </w:r>
    </w:p>
    <w:p w:rsidR="005E2CD1" w:rsidRDefault="007004AB" w:rsidP="007004AB">
      <w:pPr>
        <w:pStyle w:val="BodyText"/>
        <w:tabs>
          <w:tab w:val="left" w:pos="1294"/>
        </w:tabs>
        <w:spacing w:after="260"/>
        <w:ind w:left="1280" w:hanging="560"/>
        <w:jc w:val="both"/>
      </w:pPr>
      <w:bookmarkStart w:id="23" w:name="bookmark23"/>
      <w:bookmarkEnd w:id="23"/>
      <w:r>
        <w:rPr>
          <w:b/>
          <w:bCs/>
        </w:rPr>
        <w:t>ii)</w:t>
      </w:r>
      <w:r>
        <w:rPr>
          <w:b/>
          <w:bCs/>
        </w:rPr>
        <w:tab/>
      </w:r>
      <w:r>
        <w:t>Ambassador Naela Gabr from Arab Republic of Egypt for Memb</w:t>
      </w:r>
      <w:r>
        <w:t>ership of the International Committee on the Elimination of all forms of Discrimination Against Women (CEDAW);</w:t>
      </w:r>
    </w:p>
    <w:p w:rsidR="005E2CD1" w:rsidRDefault="007004AB" w:rsidP="007004AB">
      <w:pPr>
        <w:pStyle w:val="BodyText"/>
        <w:tabs>
          <w:tab w:val="left" w:pos="1294"/>
        </w:tabs>
        <w:spacing w:after="260" w:line="233" w:lineRule="auto"/>
        <w:ind w:left="1280" w:hanging="560"/>
        <w:jc w:val="both"/>
      </w:pPr>
      <w:bookmarkStart w:id="24" w:name="bookmark24"/>
      <w:bookmarkEnd w:id="24"/>
      <w:r>
        <w:rPr>
          <w:b/>
          <w:bCs/>
        </w:rPr>
        <w:t>iii)</w:t>
      </w:r>
      <w:r>
        <w:rPr>
          <w:b/>
          <w:bCs/>
        </w:rPr>
        <w:tab/>
      </w:r>
      <w:r>
        <w:t>Ambassador Dani Benchaa from Algeria for the post of Director General of the Organization for the Prohibition of Chemical Weapons (OPCW);</w:t>
      </w:r>
    </w:p>
    <w:p w:rsidR="005E2CD1" w:rsidRDefault="007004AB" w:rsidP="007004AB">
      <w:pPr>
        <w:pStyle w:val="BodyText"/>
        <w:tabs>
          <w:tab w:val="left" w:pos="1294"/>
        </w:tabs>
        <w:spacing w:after="260"/>
        <w:ind w:left="1280" w:hanging="560"/>
        <w:jc w:val="both"/>
      </w:pPr>
      <w:bookmarkStart w:id="25" w:name="bookmark25"/>
      <w:bookmarkEnd w:id="25"/>
      <w:r>
        <w:rPr>
          <w:b/>
          <w:bCs/>
        </w:rPr>
        <w:t>iv)</w:t>
      </w:r>
      <w:r>
        <w:rPr>
          <w:b/>
          <w:bCs/>
        </w:rPr>
        <w:tab/>
      </w:r>
      <w:r>
        <w:t>Mr. Kin</w:t>
      </w:r>
      <w:r>
        <w:t>gston Papie Rhodes from Sierra Leone for re-election for membership and the Chairmanship of the International Civil Service Commission of the United Nations;</w:t>
      </w:r>
    </w:p>
    <w:p w:rsidR="005E2CD1" w:rsidRDefault="007004AB" w:rsidP="007004AB">
      <w:pPr>
        <w:pStyle w:val="BodyText"/>
        <w:tabs>
          <w:tab w:val="left" w:pos="1294"/>
        </w:tabs>
        <w:spacing w:after="260"/>
        <w:ind w:left="1280" w:hanging="560"/>
        <w:jc w:val="both"/>
      </w:pPr>
      <w:bookmarkStart w:id="26" w:name="bookmark26"/>
      <w:bookmarkEnd w:id="26"/>
      <w:r>
        <w:rPr>
          <w:b/>
          <w:bCs/>
        </w:rPr>
        <w:t>v)</w:t>
      </w:r>
      <w:r>
        <w:rPr>
          <w:b/>
          <w:bCs/>
        </w:rPr>
        <w:tab/>
      </w:r>
      <w:r>
        <w:t>Mr. Collen Vixen Kelapile from the Republic of Botswana for re-election to the United Nations Advi</w:t>
      </w:r>
      <w:r>
        <w:t>sory Committee on Administrative and Budgetary Questions;</w:t>
      </w:r>
    </w:p>
    <w:p w:rsidR="005E2CD1" w:rsidRDefault="007004AB" w:rsidP="007004AB">
      <w:pPr>
        <w:pStyle w:val="BodyText"/>
        <w:tabs>
          <w:tab w:val="left" w:pos="728"/>
        </w:tabs>
        <w:spacing w:after="260"/>
        <w:ind w:left="700" w:hanging="700"/>
        <w:jc w:val="both"/>
      </w:pPr>
      <w:bookmarkStart w:id="27" w:name="bookmark27"/>
      <w:bookmarkEnd w:id="27"/>
      <w:r>
        <w:rPr>
          <w:b/>
          <w:bCs/>
        </w:rPr>
        <w:t>5.</w:t>
      </w:r>
      <w:r>
        <w:rPr>
          <w:b/>
          <w:bCs/>
        </w:rPr>
        <w:tab/>
      </w:r>
      <w:r>
        <w:rPr>
          <w:b/>
          <w:bCs/>
        </w:rPr>
        <w:t xml:space="preserve">REITERATES </w:t>
      </w:r>
      <w:r>
        <w:t xml:space="preserve">its support for the candidature of H. E. Dr. Faruk Hosni, Minister of Culture of the Arab Republic of Egypt for the post of Director General of the United Nations Educational, Scientific </w:t>
      </w:r>
      <w:r>
        <w:t>and Cultural Organization (UNESCO);</w:t>
      </w:r>
    </w:p>
    <w:p w:rsidR="005E2CD1" w:rsidRDefault="007004AB" w:rsidP="007004AB">
      <w:pPr>
        <w:pStyle w:val="BodyText"/>
        <w:tabs>
          <w:tab w:val="left" w:pos="728"/>
        </w:tabs>
        <w:spacing w:after="260"/>
        <w:ind w:left="700" w:hanging="700"/>
        <w:jc w:val="both"/>
      </w:pPr>
      <w:bookmarkStart w:id="28" w:name="bookmark28"/>
      <w:bookmarkEnd w:id="28"/>
      <w:r>
        <w:rPr>
          <w:b/>
          <w:bCs/>
        </w:rPr>
        <w:t>6.</w:t>
      </w:r>
      <w:r>
        <w:rPr>
          <w:b/>
          <w:bCs/>
        </w:rPr>
        <w:tab/>
      </w:r>
      <w:r>
        <w:rPr>
          <w:b/>
          <w:bCs/>
        </w:rPr>
        <w:t xml:space="preserve">REQUESTS </w:t>
      </w:r>
      <w:r>
        <w:t>the Commission to convey to the Secretary General of the United Nations the importance of respecting the principle of rotation in filling the senior positions of all Organs, Agencies, Funds and Programmes of the</w:t>
      </w:r>
      <w:r>
        <w:t xml:space="preserve"> United Nations System, including the position of Secretary General of UNCTAD, hence ensuring the rightful share of Africa in such positions;</w:t>
      </w:r>
    </w:p>
    <w:p w:rsidR="005E2CD1" w:rsidRDefault="007004AB" w:rsidP="007004AB">
      <w:pPr>
        <w:pStyle w:val="BodyText"/>
        <w:tabs>
          <w:tab w:val="left" w:pos="730"/>
        </w:tabs>
        <w:spacing w:after="260"/>
        <w:ind w:left="720" w:hanging="720"/>
        <w:jc w:val="both"/>
      </w:pPr>
      <w:bookmarkStart w:id="29" w:name="bookmark29"/>
      <w:bookmarkEnd w:id="29"/>
      <w:r>
        <w:rPr>
          <w:b/>
          <w:bCs/>
        </w:rPr>
        <w:lastRenderedPageBreak/>
        <w:t>7.</w:t>
      </w:r>
      <w:r>
        <w:rPr>
          <w:b/>
          <w:bCs/>
        </w:rPr>
        <w:tab/>
      </w:r>
      <w:r>
        <w:rPr>
          <w:b/>
          <w:bCs/>
        </w:rPr>
        <w:t xml:space="preserve">CALLS ON </w:t>
      </w:r>
      <w:r>
        <w:t>all Member States of the African Union to adhere to the Decisions of the Assembly regarding the endorseme</w:t>
      </w:r>
      <w:r>
        <w:t>nt of African Candidatures within the International System, in order to maintain a unified voice in support of these Candidatures and to preserve the credibility of African Decisions;</w:t>
      </w:r>
    </w:p>
    <w:p w:rsidR="005E2CD1" w:rsidRDefault="007004AB" w:rsidP="007004AB">
      <w:pPr>
        <w:pStyle w:val="BodyText"/>
        <w:tabs>
          <w:tab w:val="left" w:pos="730"/>
        </w:tabs>
        <w:spacing w:after="0"/>
        <w:ind w:left="720" w:hanging="720"/>
        <w:jc w:val="both"/>
      </w:pPr>
      <w:bookmarkStart w:id="30" w:name="bookmark30"/>
      <w:bookmarkEnd w:id="30"/>
      <w:r>
        <w:rPr>
          <w:b/>
          <w:bCs/>
        </w:rPr>
        <w:t>8.</w:t>
      </w:r>
      <w:r>
        <w:rPr>
          <w:b/>
          <w:bCs/>
        </w:rPr>
        <w:tab/>
      </w:r>
      <w:r>
        <w:rPr>
          <w:b/>
          <w:bCs/>
        </w:rPr>
        <w:t xml:space="preserve">FURTHER CALLS ON </w:t>
      </w:r>
      <w:r>
        <w:t xml:space="preserve">all Member States to strictly adhere to the Rules of </w:t>
      </w:r>
      <w:r>
        <w:t>Procedure of the African Ministerial Committee on Candidatures within the International System, in order to ensure equal and fair opportunity for all Member States and their individual candidates.</w:t>
      </w:r>
    </w:p>
    <w:sectPr w:rsidR="005E2CD1">
      <w:pgSz w:w="12240" w:h="16834"/>
      <w:pgMar w:top="1945" w:right="1356" w:bottom="2485"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004AB">
      <w:r>
        <w:separator/>
      </w:r>
    </w:p>
  </w:endnote>
  <w:endnote w:type="continuationSeparator" w:id="0">
    <w:p w:rsidR="00000000" w:rsidRDefault="0070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CD1" w:rsidRDefault="007004AB">
      <w:r>
        <w:separator/>
      </w:r>
    </w:p>
  </w:footnote>
  <w:footnote w:type="continuationSeparator" w:id="0">
    <w:p w:rsidR="005E2CD1" w:rsidRDefault="0070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257"/>
    <w:multiLevelType w:val="multilevel"/>
    <w:tmpl w:val="B84E0BBE"/>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3B2B87"/>
    <w:multiLevelType w:val="multilevel"/>
    <w:tmpl w:val="2CA4DD40"/>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5A2E66"/>
    <w:multiLevelType w:val="multilevel"/>
    <w:tmpl w:val="72CA122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001487">
    <w:abstractNumId w:val="2"/>
  </w:num>
  <w:num w:numId="2" w16cid:durableId="1801144555">
    <w:abstractNumId w:val="1"/>
  </w:num>
  <w:num w:numId="3" w16cid:durableId="173423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D1"/>
    <w:rsid w:val="005E2CD1"/>
    <w:rsid w:val="0070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2022-10-26T06:13:00Z</dcterms:created>
  <dcterms:modified xsi:type="dcterms:W3CDTF">2022-10-26T06:13:00Z</dcterms:modified>
</cp:coreProperties>
</file>