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4E11" w:rsidRDefault="00A213D3">
      <w:pPr>
        <w:pStyle w:val="BodyText"/>
        <w:jc w:val="center"/>
      </w:pPr>
      <w:r>
        <w:rPr>
          <w:b/>
          <w:bCs/>
        </w:rPr>
        <w:t>DECISION BY THE AD-HOC MINISTERIAL COMMITTEE</w:t>
      </w:r>
      <w:r>
        <w:rPr>
          <w:b/>
          <w:bCs/>
        </w:rPr>
        <w:br/>
        <w:t>ON THE SCALE OF ASSESSMENT</w:t>
      </w:r>
      <w:r>
        <w:rPr>
          <w:b/>
          <w:bCs/>
        </w:rPr>
        <w:br/>
        <w:t>Doc. EX.CL/776(XXII)</w:t>
      </w:r>
    </w:p>
    <w:p w:rsidR="00084E11" w:rsidRDefault="00A213D3">
      <w:pPr>
        <w:pStyle w:val="Heading10"/>
        <w:keepNext/>
        <w:keepLines/>
        <w:spacing w:after="280"/>
        <w:ind w:firstLine="340"/>
        <w:jc w:val="both"/>
      </w:pPr>
      <w:bookmarkStart w:id="0" w:name="bookmark0"/>
      <w:bookmarkStart w:id="1" w:name="bookmark1"/>
      <w:bookmarkStart w:id="2" w:name="bookmark2"/>
      <w:r>
        <w:t>The Executive Council,</w:t>
      </w:r>
      <w:bookmarkEnd w:id="0"/>
      <w:bookmarkEnd w:id="1"/>
      <w:bookmarkEnd w:id="2"/>
    </w:p>
    <w:p w:rsidR="00084E11" w:rsidRDefault="00A213D3" w:rsidP="00A213D3">
      <w:pPr>
        <w:pStyle w:val="BodyText"/>
        <w:tabs>
          <w:tab w:val="left" w:pos="1068"/>
        </w:tabs>
        <w:spacing w:line="230" w:lineRule="auto"/>
        <w:ind w:left="1060" w:hanging="700"/>
        <w:jc w:val="both"/>
      </w:pPr>
      <w:bookmarkStart w:id="3" w:name="bookmark3"/>
      <w:bookmarkEnd w:id="3"/>
      <w:r>
        <w:rPr>
          <w:b/>
          <w:bCs/>
        </w:rPr>
        <w:t>1.</w:t>
      </w:r>
      <w:r>
        <w:rPr>
          <w:b/>
          <w:bCs/>
        </w:rPr>
        <w:tab/>
      </w:r>
      <w:r>
        <w:rPr>
          <w:b/>
          <w:bCs/>
        </w:rPr>
        <w:t xml:space="preserve">TAKES NOTE </w:t>
      </w:r>
      <w:r>
        <w:t>of the Report of the Ad-hoc Ministerial Committee on the review of the scale of assessments;</w:t>
      </w:r>
    </w:p>
    <w:p w:rsidR="00084E11" w:rsidRDefault="00A213D3" w:rsidP="00A213D3">
      <w:pPr>
        <w:pStyle w:val="BodyText"/>
        <w:tabs>
          <w:tab w:val="left" w:pos="1068"/>
        </w:tabs>
        <w:spacing w:after="340" w:line="226" w:lineRule="auto"/>
        <w:ind w:left="1060" w:hanging="700"/>
        <w:jc w:val="both"/>
      </w:pPr>
      <w:bookmarkStart w:id="4" w:name="bookmark4"/>
      <w:bookmarkEnd w:id="4"/>
      <w:r>
        <w:rPr>
          <w:b/>
          <w:bCs/>
        </w:rPr>
        <w:t>2.</w:t>
      </w:r>
      <w:r>
        <w:rPr>
          <w:b/>
          <w:bCs/>
        </w:rPr>
        <w:tab/>
      </w:r>
      <w:r>
        <w:rPr>
          <w:b/>
          <w:bCs/>
        </w:rPr>
        <w:t xml:space="preserve">DECIDES </w:t>
      </w:r>
      <w:r>
        <w:t xml:space="preserve">to endorse the </w:t>
      </w:r>
      <w:r>
        <w:t>recommendations of the Ministerial Committee as follows:</w:t>
      </w:r>
    </w:p>
    <w:p w:rsidR="00084E11" w:rsidRDefault="00A213D3" w:rsidP="00A213D3">
      <w:pPr>
        <w:pStyle w:val="BodyText"/>
        <w:tabs>
          <w:tab w:val="left" w:pos="1191"/>
        </w:tabs>
        <w:spacing w:after="0" w:line="230" w:lineRule="auto"/>
        <w:ind w:firstLine="920"/>
      </w:pPr>
      <w:bookmarkStart w:id="5" w:name="bookmark5"/>
      <w:bookmarkEnd w:id="5"/>
      <w:r>
        <w:t>i)</w:t>
      </w:r>
      <w:r>
        <w:tab/>
      </w:r>
      <w:r>
        <w:t>The new scale of assessments will be based on a maximum rate (ceiling) of</w:t>
      </w:r>
    </w:p>
    <w:p w:rsidR="00084E11" w:rsidRDefault="00A213D3">
      <w:pPr>
        <w:pStyle w:val="BodyText"/>
        <w:spacing w:after="0" w:line="230" w:lineRule="auto"/>
        <w:ind w:left="1620"/>
      </w:pPr>
      <w:r>
        <w:t>12.898 per cent without the imposition of a minimum (floor) rate;</w:t>
      </w:r>
    </w:p>
    <w:p w:rsidR="00084E11" w:rsidRDefault="00A213D3" w:rsidP="00A213D3">
      <w:pPr>
        <w:pStyle w:val="BodyText"/>
        <w:tabs>
          <w:tab w:val="left" w:pos="1616"/>
        </w:tabs>
        <w:spacing w:after="0" w:line="230" w:lineRule="auto"/>
        <w:ind w:left="1620" w:hanging="700"/>
      </w:pPr>
      <w:bookmarkStart w:id="6" w:name="bookmark6"/>
      <w:bookmarkEnd w:id="6"/>
      <w:r>
        <w:t>ii)</w:t>
      </w:r>
      <w:r>
        <w:tab/>
      </w:r>
      <w:r>
        <w:t>The new scale will be adopted in principle for the 3-year f</w:t>
      </w:r>
      <w:r>
        <w:t>inancial years 2014, 2015 and 2016;</w:t>
      </w:r>
    </w:p>
    <w:p w:rsidR="00084E11" w:rsidRDefault="00A213D3" w:rsidP="00A213D3">
      <w:pPr>
        <w:pStyle w:val="BodyText"/>
        <w:tabs>
          <w:tab w:val="left" w:pos="1616"/>
        </w:tabs>
        <w:spacing w:line="230" w:lineRule="auto"/>
        <w:ind w:left="1620" w:hanging="700"/>
      </w:pPr>
      <w:bookmarkStart w:id="7" w:name="bookmark7"/>
      <w:bookmarkEnd w:id="7"/>
      <w:r>
        <w:t>iii)</w:t>
      </w:r>
      <w:r>
        <w:tab/>
      </w:r>
      <w:r>
        <w:t>When data for 2011 become available, the scale will be revisited in order to incorporate the updated data.</w:t>
      </w:r>
    </w:p>
    <w:p w:rsidR="00084E11" w:rsidRDefault="00A213D3" w:rsidP="00A213D3">
      <w:pPr>
        <w:pStyle w:val="BodyText"/>
        <w:tabs>
          <w:tab w:val="left" w:pos="1068"/>
        </w:tabs>
        <w:ind w:left="1060" w:hanging="700"/>
        <w:jc w:val="both"/>
      </w:pPr>
      <w:bookmarkStart w:id="8" w:name="bookmark8"/>
      <w:bookmarkEnd w:id="8"/>
      <w:r>
        <w:rPr>
          <w:b/>
          <w:bCs/>
        </w:rPr>
        <w:t>3.</w:t>
      </w:r>
      <w:r>
        <w:rPr>
          <w:b/>
          <w:bCs/>
        </w:rPr>
        <w:tab/>
      </w:r>
      <w:r>
        <w:rPr>
          <w:b/>
          <w:bCs/>
        </w:rPr>
        <w:t xml:space="preserve">APPLAUDS </w:t>
      </w:r>
      <w:r>
        <w:t>the Government of Libya for accepting to continue paying contributions above its capacity to pay for the</w:t>
      </w:r>
      <w:r>
        <w:t xml:space="preserve"> approved scale, pending the filing of its formal representation and the next review of the scale;</w:t>
      </w:r>
    </w:p>
    <w:p w:rsidR="00084E11" w:rsidRDefault="00A213D3" w:rsidP="00A213D3">
      <w:pPr>
        <w:pStyle w:val="BodyText"/>
        <w:tabs>
          <w:tab w:val="left" w:pos="1068"/>
        </w:tabs>
        <w:ind w:left="1060" w:hanging="700"/>
        <w:jc w:val="both"/>
      </w:pPr>
      <w:bookmarkStart w:id="9" w:name="bookmark9"/>
      <w:bookmarkEnd w:id="9"/>
      <w:r>
        <w:rPr>
          <w:b/>
          <w:bCs/>
        </w:rPr>
        <w:t>4.</w:t>
      </w:r>
      <w:r>
        <w:rPr>
          <w:b/>
          <w:bCs/>
        </w:rPr>
        <w:tab/>
      </w:r>
      <w:r>
        <w:rPr>
          <w:b/>
          <w:bCs/>
        </w:rPr>
        <w:t xml:space="preserve">ENCOURAGES </w:t>
      </w:r>
      <w:r>
        <w:t>Member States which have the capacity to and who are able to pay over and above their assessed contributions to do so;</w:t>
      </w:r>
    </w:p>
    <w:p w:rsidR="00084E11" w:rsidRDefault="00A213D3" w:rsidP="00A213D3">
      <w:pPr>
        <w:pStyle w:val="BodyText"/>
        <w:tabs>
          <w:tab w:val="left" w:pos="1068"/>
        </w:tabs>
        <w:ind w:firstLine="340"/>
      </w:pPr>
      <w:bookmarkStart w:id="10" w:name="bookmark10"/>
      <w:bookmarkEnd w:id="10"/>
      <w:r>
        <w:rPr>
          <w:b/>
          <w:bCs/>
        </w:rPr>
        <w:t>5.</w:t>
      </w:r>
      <w:r>
        <w:rPr>
          <w:b/>
          <w:bCs/>
        </w:rPr>
        <w:tab/>
      </w:r>
      <w:r>
        <w:rPr>
          <w:b/>
          <w:bCs/>
        </w:rPr>
        <w:t xml:space="preserve">ADOPTS </w:t>
      </w:r>
      <w:r>
        <w:t xml:space="preserve">the new AU </w:t>
      </w:r>
      <w:r>
        <w:t>Scale of Assessments;</w:t>
      </w:r>
    </w:p>
    <w:p w:rsidR="00084E11" w:rsidRDefault="00A213D3" w:rsidP="00A213D3">
      <w:pPr>
        <w:pStyle w:val="BodyText"/>
        <w:tabs>
          <w:tab w:val="left" w:pos="1068"/>
        </w:tabs>
        <w:spacing w:line="233" w:lineRule="auto"/>
        <w:ind w:left="1060" w:hanging="700"/>
        <w:jc w:val="both"/>
      </w:pPr>
      <w:bookmarkStart w:id="11" w:name="bookmark11"/>
      <w:bookmarkEnd w:id="11"/>
      <w:r>
        <w:rPr>
          <w:b/>
          <w:bCs/>
        </w:rPr>
        <w:t>6.</w:t>
      </w:r>
      <w:r>
        <w:rPr>
          <w:b/>
          <w:bCs/>
        </w:rPr>
        <w:tab/>
      </w:r>
      <w:r>
        <w:rPr>
          <w:b/>
          <w:bCs/>
        </w:rPr>
        <w:t xml:space="preserve">ENDORSES </w:t>
      </w:r>
      <w:r>
        <w:t>the recommendation that the Republic of South Sudan be assessed at 0.599 per cent with effect from January 2012;</w:t>
      </w:r>
    </w:p>
    <w:p w:rsidR="00084E11" w:rsidRDefault="00A213D3" w:rsidP="00A213D3">
      <w:pPr>
        <w:pStyle w:val="BodyText"/>
        <w:tabs>
          <w:tab w:val="left" w:pos="1068"/>
        </w:tabs>
        <w:ind w:left="1060" w:hanging="700"/>
        <w:jc w:val="both"/>
      </w:pPr>
      <w:bookmarkStart w:id="12" w:name="bookmark12"/>
      <w:bookmarkEnd w:id="12"/>
      <w:r>
        <w:rPr>
          <w:b/>
          <w:bCs/>
        </w:rPr>
        <w:t>7.</w:t>
      </w:r>
      <w:r>
        <w:rPr>
          <w:b/>
          <w:bCs/>
        </w:rPr>
        <w:tab/>
      </w:r>
      <w:r>
        <w:rPr>
          <w:b/>
          <w:bCs/>
        </w:rPr>
        <w:t xml:space="preserve">AGREES </w:t>
      </w:r>
      <w:r>
        <w:t>that the assessed contribution of the Republic of Sudan should be fixed temporarily at 2% with effect fro</w:t>
      </w:r>
      <w:r>
        <w:t>m January 2012, pending a new proposal based on the findings of consultants mandated by the AU Commission after contacts with the Sudanese Authorities, the evaluation report of which will be considered by the next Council session;</w:t>
      </w:r>
    </w:p>
    <w:p w:rsidR="00084E11" w:rsidRDefault="00A213D3" w:rsidP="00A213D3">
      <w:pPr>
        <w:pStyle w:val="BodyText"/>
        <w:tabs>
          <w:tab w:val="left" w:pos="1068"/>
        </w:tabs>
        <w:ind w:left="1060" w:hanging="700"/>
        <w:jc w:val="both"/>
      </w:pPr>
      <w:bookmarkStart w:id="13" w:name="bookmark13"/>
      <w:bookmarkEnd w:id="13"/>
      <w:r>
        <w:rPr>
          <w:b/>
          <w:bCs/>
        </w:rPr>
        <w:t>8.</w:t>
      </w:r>
      <w:r>
        <w:rPr>
          <w:b/>
          <w:bCs/>
        </w:rPr>
        <w:tab/>
      </w:r>
      <w:r>
        <w:rPr>
          <w:b/>
          <w:bCs/>
        </w:rPr>
        <w:t xml:space="preserve">REQUESTS </w:t>
      </w:r>
      <w:r>
        <w:t>the PRC Sub-Comm</w:t>
      </w:r>
      <w:r>
        <w:t>ittee to review the statutory contributions of some small island states taking into account their vulnerability, and make proposals and recommendations to the next Session of Council. The review should be towards proposing a minimum amount to be paid by Me</w:t>
      </w:r>
      <w:r>
        <w:t>mber States in arrears of contributions to avoid sanctions;</w:t>
      </w:r>
    </w:p>
    <w:p w:rsidR="00084E11" w:rsidRDefault="00A213D3" w:rsidP="00A213D3">
      <w:pPr>
        <w:pStyle w:val="BodyText"/>
        <w:tabs>
          <w:tab w:val="left" w:pos="1068"/>
        </w:tabs>
        <w:ind w:firstLine="340"/>
        <w:jc w:val="both"/>
      </w:pPr>
      <w:bookmarkStart w:id="14" w:name="bookmark14"/>
      <w:bookmarkEnd w:id="14"/>
      <w:r>
        <w:rPr>
          <w:b/>
          <w:bCs/>
        </w:rPr>
        <w:t>9.</w:t>
      </w:r>
      <w:r>
        <w:rPr>
          <w:b/>
          <w:bCs/>
        </w:rPr>
        <w:tab/>
      </w:r>
      <w:r>
        <w:rPr>
          <w:b/>
          <w:bCs/>
        </w:rPr>
        <w:t xml:space="preserve">URGES </w:t>
      </w:r>
      <w:r>
        <w:t>Member States to promptly pay their assessed contributions.</w:t>
      </w:r>
    </w:p>
    <w:sectPr w:rsidR="00084E11">
      <w:pgSz w:w="12240" w:h="16834"/>
      <w:pgMar w:top="2058" w:right="938" w:bottom="1932" w:left="106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213D3">
      <w:r>
        <w:separator/>
      </w:r>
    </w:p>
  </w:endnote>
  <w:endnote w:type="continuationSeparator" w:id="0">
    <w:p w:rsidR="00000000" w:rsidRDefault="00A2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4E11" w:rsidRDefault="00A213D3">
      <w:r>
        <w:separator/>
      </w:r>
    </w:p>
  </w:footnote>
  <w:footnote w:type="continuationSeparator" w:id="0">
    <w:p w:rsidR="00084E11" w:rsidRDefault="00A21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55656"/>
    <w:multiLevelType w:val="multilevel"/>
    <w:tmpl w:val="F6BAED6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B36C23"/>
    <w:multiLevelType w:val="multilevel"/>
    <w:tmpl w:val="933AB75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26975050">
    <w:abstractNumId w:val="1"/>
  </w:num>
  <w:num w:numId="2" w16cid:durableId="1787578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11"/>
    <w:rsid w:val="00084E11"/>
    <w:rsid w:val="00A2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2022-10-26T06:19:00Z</dcterms:created>
  <dcterms:modified xsi:type="dcterms:W3CDTF">2022-10-26T06:19:00Z</dcterms:modified>
</cp:coreProperties>
</file>