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E88" w:rsidRDefault="00DD662A">
      <w:pPr>
        <w:pStyle w:val="Heading10"/>
        <w:keepNext/>
        <w:keepLines/>
        <w:spacing w:after="0"/>
        <w:jc w:val="center"/>
      </w:pPr>
      <w:bookmarkStart w:id="0" w:name="bookmark0"/>
      <w:bookmarkStart w:id="1" w:name="bookmark1"/>
      <w:bookmarkStart w:id="2" w:name="bookmark2"/>
      <w:r>
        <w:t>DECISION ON THE 2014 ACTIVITY REPORT OF THE AFRICAN</w:t>
      </w:r>
      <w:r>
        <w:br/>
        <w:t>COURT ON HUMAN AND PEOPLES’ RIGHTS</w:t>
      </w:r>
      <w:r>
        <w:rPr>
          <w:vertAlign w:val="superscript"/>
        </w:rPr>
        <w:footnoteReference w:id="1"/>
      </w:r>
      <w:bookmarkEnd w:id="0"/>
      <w:bookmarkEnd w:id="1"/>
      <w:bookmarkEnd w:id="2"/>
    </w:p>
    <w:p w:rsidR="005F5E88" w:rsidRDefault="00DD662A">
      <w:pPr>
        <w:pStyle w:val="Heading10"/>
        <w:keepNext/>
        <w:keepLines/>
        <w:spacing w:after="220"/>
        <w:jc w:val="center"/>
      </w:pPr>
      <w:bookmarkStart w:id="3" w:name="bookmark5"/>
      <w:r>
        <w:t>Doc. EX.CL/888(XXVI)</w:t>
      </w:r>
      <w:bookmarkEnd w:id="3"/>
    </w:p>
    <w:p w:rsidR="005F5E88" w:rsidRDefault="00DD662A">
      <w:pPr>
        <w:pStyle w:val="Heading10"/>
        <w:keepNext/>
        <w:keepLines/>
        <w:spacing w:after="80"/>
        <w:ind w:firstLine="600"/>
        <w:jc w:val="both"/>
      </w:pPr>
      <w:bookmarkStart w:id="4" w:name="bookmark3"/>
      <w:bookmarkStart w:id="5" w:name="bookmark4"/>
      <w:bookmarkStart w:id="6" w:name="bookmark6"/>
      <w:r>
        <w:t>The Executive Council,</w:t>
      </w:r>
      <w:bookmarkEnd w:id="4"/>
      <w:bookmarkEnd w:id="5"/>
      <w:bookmarkEnd w:id="6"/>
    </w:p>
    <w:p w:rsidR="005F5E88" w:rsidRDefault="00DD662A" w:rsidP="00DD662A">
      <w:pPr>
        <w:pStyle w:val="BodyText"/>
        <w:tabs>
          <w:tab w:val="left" w:pos="1337"/>
        </w:tabs>
        <w:spacing w:after="220"/>
        <w:ind w:left="1280" w:hanging="660"/>
        <w:jc w:val="both"/>
      </w:pPr>
      <w:bookmarkStart w:id="7" w:name="bookmark7"/>
      <w:bookmarkEnd w:id="7"/>
      <w:r>
        <w:rPr>
          <w:b/>
          <w:bCs/>
        </w:rPr>
        <w:t>1.</w:t>
      </w:r>
      <w:r>
        <w:rPr>
          <w:b/>
          <w:bCs/>
        </w:rPr>
        <w:tab/>
      </w:r>
      <w:r>
        <w:rPr>
          <w:b/>
          <w:bCs/>
        </w:rPr>
        <w:t xml:space="preserve">TAKES NOTE </w:t>
      </w:r>
      <w:r>
        <w:t xml:space="preserve">of the 2014 Activity Report of the African Court on Human and Peoples’ Rights (the Court), and the </w:t>
      </w:r>
      <w:r>
        <w:t>recommendations therein as well as the studies undertaken by the Court, in particular:</w:t>
      </w:r>
    </w:p>
    <w:p w:rsidR="005F5E88" w:rsidRDefault="00DD662A" w:rsidP="00DD662A">
      <w:pPr>
        <w:pStyle w:val="BodyText"/>
        <w:tabs>
          <w:tab w:val="left" w:pos="1867"/>
        </w:tabs>
        <w:spacing w:after="0"/>
        <w:ind w:left="1280"/>
      </w:pPr>
      <w:bookmarkStart w:id="8" w:name="bookmark8"/>
      <w:bookmarkEnd w:id="8"/>
      <w:r>
        <w:t>i)</w:t>
      </w:r>
      <w:r>
        <w:tab/>
      </w:r>
      <w:r>
        <w:t>The implementation of a concrete mechanism for reporting and follow-up;</w:t>
      </w:r>
    </w:p>
    <w:p w:rsidR="005F5E88" w:rsidRDefault="00DD662A" w:rsidP="00DD662A">
      <w:pPr>
        <w:pStyle w:val="BodyText"/>
        <w:tabs>
          <w:tab w:val="left" w:pos="1867"/>
        </w:tabs>
        <w:spacing w:after="0"/>
        <w:ind w:left="1280"/>
      </w:pPr>
      <w:bookmarkStart w:id="9" w:name="bookmark9"/>
      <w:bookmarkEnd w:id="9"/>
      <w:r>
        <w:t>ii)</w:t>
      </w:r>
      <w:r>
        <w:tab/>
      </w:r>
      <w:r>
        <w:t>The institutionalization of a continental judicial Dialogue;</w:t>
      </w:r>
    </w:p>
    <w:p w:rsidR="005F5E88" w:rsidRDefault="00DD662A" w:rsidP="00DD662A">
      <w:pPr>
        <w:pStyle w:val="BodyText"/>
        <w:tabs>
          <w:tab w:val="left" w:pos="1867"/>
        </w:tabs>
        <w:spacing w:after="0"/>
        <w:ind w:left="1220"/>
      </w:pPr>
      <w:bookmarkStart w:id="10" w:name="bookmark10"/>
      <w:bookmarkEnd w:id="10"/>
      <w:r>
        <w:t>iii)</w:t>
      </w:r>
      <w:r>
        <w:tab/>
      </w:r>
      <w:r>
        <w:t>The establishment of a Judicial Fund</w:t>
      </w:r>
      <w:r>
        <w:t>;</w:t>
      </w:r>
    </w:p>
    <w:p w:rsidR="005F5E88" w:rsidRDefault="00DD662A" w:rsidP="00DD662A">
      <w:pPr>
        <w:pStyle w:val="BodyText"/>
        <w:tabs>
          <w:tab w:val="left" w:pos="1867"/>
        </w:tabs>
        <w:spacing w:after="220"/>
        <w:ind w:left="1880" w:hanging="660"/>
        <w:jc w:val="both"/>
      </w:pPr>
      <w:bookmarkStart w:id="11" w:name="bookmark11"/>
      <w:bookmarkEnd w:id="11"/>
      <w:r>
        <w:t>iv)</w:t>
      </w:r>
      <w:r>
        <w:tab/>
      </w:r>
      <w:r>
        <w:t>The 2016 Concept Note as African Year of Human Rights with particular emphasis on Women's Rights.</w:t>
      </w:r>
    </w:p>
    <w:p w:rsidR="005F5E88" w:rsidRDefault="00DD662A" w:rsidP="00DD662A">
      <w:pPr>
        <w:pStyle w:val="BodyText"/>
        <w:tabs>
          <w:tab w:val="left" w:pos="1337"/>
        </w:tabs>
        <w:spacing w:after="220"/>
        <w:ind w:left="1280" w:hanging="660"/>
        <w:jc w:val="both"/>
      </w:pPr>
      <w:bookmarkStart w:id="12" w:name="bookmark12"/>
      <w:bookmarkEnd w:id="12"/>
      <w:r>
        <w:rPr>
          <w:b/>
          <w:bCs/>
        </w:rPr>
        <w:t>2.</w:t>
      </w:r>
      <w:r>
        <w:rPr>
          <w:b/>
          <w:bCs/>
        </w:rPr>
        <w:tab/>
      </w:r>
      <w:r>
        <w:rPr>
          <w:b/>
          <w:bCs/>
        </w:rPr>
        <w:t xml:space="preserve">AUTHORISES </w:t>
      </w:r>
      <w:r>
        <w:t>the Court to carry out the activities proposed within this framework of the resources already allocated to it and through mobilisation of volunta</w:t>
      </w:r>
      <w:r>
        <w:t xml:space="preserve">ry resources of Member States. </w:t>
      </w:r>
      <w:r>
        <w:rPr>
          <w:b/>
          <w:bCs/>
        </w:rPr>
        <w:t xml:space="preserve">APPEALS </w:t>
      </w:r>
      <w:r>
        <w:t>to Member States to make voluntary contributions within this framework;</w:t>
      </w:r>
    </w:p>
    <w:p w:rsidR="005F5E88" w:rsidRDefault="00DD662A" w:rsidP="00DD662A">
      <w:pPr>
        <w:pStyle w:val="BodyText"/>
        <w:tabs>
          <w:tab w:val="left" w:pos="1337"/>
        </w:tabs>
        <w:spacing w:after="220"/>
        <w:ind w:left="1280" w:hanging="660"/>
        <w:jc w:val="both"/>
      </w:pPr>
      <w:bookmarkStart w:id="13" w:name="bookmark13"/>
      <w:bookmarkEnd w:id="13"/>
      <w:r>
        <w:rPr>
          <w:b/>
          <w:bCs/>
        </w:rPr>
        <w:t>3.</w:t>
      </w:r>
      <w:r>
        <w:rPr>
          <w:b/>
          <w:bCs/>
        </w:rPr>
        <w:tab/>
      </w:r>
      <w:r>
        <w:rPr>
          <w:b/>
          <w:bCs/>
        </w:rPr>
        <w:t xml:space="preserve">URGES </w:t>
      </w:r>
      <w:r>
        <w:t xml:space="preserve">Member States that have not yet ratified/acceded to the Protocol on the Court to do so and </w:t>
      </w:r>
      <w:r>
        <w:rPr>
          <w:b/>
          <w:bCs/>
        </w:rPr>
        <w:t xml:space="preserve">REQUESTS </w:t>
      </w:r>
      <w:r>
        <w:t>them to make a declaration in accordanc</w:t>
      </w:r>
      <w:r>
        <w:t>e with article 34 (6) of the Protocol before 1 January 2016;</w:t>
      </w:r>
    </w:p>
    <w:p w:rsidR="005F5E88" w:rsidRDefault="00DD662A" w:rsidP="00DD662A">
      <w:pPr>
        <w:pStyle w:val="BodyText"/>
        <w:tabs>
          <w:tab w:val="left" w:pos="1337"/>
        </w:tabs>
        <w:spacing w:after="220"/>
        <w:ind w:left="1280" w:hanging="660"/>
        <w:jc w:val="both"/>
      </w:pPr>
      <w:bookmarkStart w:id="14" w:name="bookmark14"/>
      <w:bookmarkEnd w:id="14"/>
      <w:r>
        <w:rPr>
          <w:b/>
          <w:bCs/>
        </w:rPr>
        <w:t>4.</w:t>
      </w:r>
      <w:r>
        <w:rPr>
          <w:b/>
          <w:bCs/>
        </w:rPr>
        <w:tab/>
      </w:r>
      <w:r>
        <w:rPr>
          <w:b/>
          <w:bCs/>
        </w:rPr>
        <w:t xml:space="preserve">URGES </w:t>
      </w:r>
      <w:r>
        <w:t>Member States to commit unconditionally to, and comply with judgements rendered by the Court;</w:t>
      </w:r>
    </w:p>
    <w:p w:rsidR="005F5E88" w:rsidRDefault="00DD662A" w:rsidP="00DD662A">
      <w:pPr>
        <w:pStyle w:val="BodyText"/>
        <w:tabs>
          <w:tab w:val="left" w:pos="1337"/>
        </w:tabs>
        <w:spacing w:after="220"/>
        <w:ind w:left="1280" w:hanging="660"/>
        <w:jc w:val="both"/>
      </w:pPr>
      <w:bookmarkStart w:id="15" w:name="bookmark15"/>
      <w:bookmarkEnd w:id="15"/>
      <w:r>
        <w:rPr>
          <w:b/>
          <w:bCs/>
        </w:rPr>
        <w:t>5.</w:t>
      </w:r>
      <w:r>
        <w:rPr>
          <w:b/>
          <w:bCs/>
        </w:rPr>
        <w:tab/>
      </w:r>
      <w:r>
        <w:rPr>
          <w:b/>
          <w:bCs/>
        </w:rPr>
        <w:t xml:space="preserve">EXPRESSES </w:t>
      </w:r>
      <w:r>
        <w:t>its profound appreciation to the Government of the United Republic of Tanzania for th</w:t>
      </w:r>
      <w:r>
        <w:t xml:space="preserve">e facilities provided to the Court and measures taken for the construction of a permanent Seat for the Court and </w:t>
      </w:r>
      <w:r>
        <w:rPr>
          <w:b/>
          <w:bCs/>
        </w:rPr>
        <w:t xml:space="preserve">ENCOURAGES </w:t>
      </w:r>
      <w:r>
        <w:t xml:space="preserve">the United Republic of Tanzania to continue its efforts to this end in order to provide the Court with the Seat as soon as possible </w:t>
      </w:r>
      <w:r>
        <w:t>to facilitate its operation;</w:t>
      </w:r>
    </w:p>
    <w:p w:rsidR="005F5E88" w:rsidRDefault="00DD662A" w:rsidP="00DD662A">
      <w:pPr>
        <w:pStyle w:val="BodyText"/>
        <w:tabs>
          <w:tab w:val="left" w:pos="1337"/>
        </w:tabs>
        <w:spacing w:after="220"/>
        <w:ind w:left="1280" w:hanging="660"/>
        <w:jc w:val="both"/>
      </w:pPr>
      <w:bookmarkStart w:id="16" w:name="bookmark16"/>
      <w:bookmarkEnd w:id="16"/>
      <w:r>
        <w:rPr>
          <w:b/>
          <w:bCs/>
        </w:rPr>
        <w:t>6.</w:t>
      </w:r>
      <w:r>
        <w:rPr>
          <w:b/>
          <w:bCs/>
        </w:rPr>
        <w:tab/>
      </w:r>
      <w:r>
        <w:rPr>
          <w:b/>
          <w:bCs/>
        </w:rPr>
        <w:t xml:space="preserve">REQUESTS </w:t>
      </w:r>
      <w:r>
        <w:t>the Court to always ensure that all relevant documents are transmitted in the AU working languages;</w:t>
      </w:r>
    </w:p>
    <w:p w:rsidR="005F5E88" w:rsidRDefault="00DD662A" w:rsidP="00DD662A">
      <w:pPr>
        <w:pStyle w:val="BodyText"/>
        <w:tabs>
          <w:tab w:val="left" w:pos="1337"/>
        </w:tabs>
        <w:spacing w:after="220"/>
        <w:ind w:left="1280" w:hanging="660"/>
        <w:jc w:val="both"/>
      </w:pPr>
      <w:bookmarkStart w:id="17" w:name="bookmark17"/>
      <w:bookmarkEnd w:id="17"/>
      <w:r>
        <w:rPr>
          <w:b/>
          <w:bCs/>
        </w:rPr>
        <w:t>7.</w:t>
      </w:r>
      <w:r>
        <w:rPr>
          <w:b/>
          <w:bCs/>
        </w:rPr>
        <w:tab/>
      </w:r>
      <w:r>
        <w:rPr>
          <w:b/>
          <w:bCs/>
        </w:rPr>
        <w:t xml:space="preserve">ENCOURAGES, </w:t>
      </w:r>
      <w:r>
        <w:t>at the same time, Member States to provide all the information requested by the Court within the set deadl</w:t>
      </w:r>
      <w:r>
        <w:t>ine;</w:t>
      </w:r>
    </w:p>
    <w:p w:rsidR="005F5E88" w:rsidRDefault="00DD662A" w:rsidP="00DD662A">
      <w:pPr>
        <w:pStyle w:val="BodyText"/>
        <w:tabs>
          <w:tab w:val="left" w:pos="1337"/>
        </w:tabs>
        <w:spacing w:after="220"/>
        <w:ind w:left="1280" w:hanging="660"/>
        <w:jc w:val="both"/>
      </w:pPr>
      <w:bookmarkStart w:id="18" w:name="bookmark18"/>
      <w:bookmarkEnd w:id="18"/>
      <w:r>
        <w:rPr>
          <w:b/>
          <w:bCs/>
        </w:rPr>
        <w:t>8.</w:t>
      </w:r>
      <w:r>
        <w:rPr>
          <w:b/>
          <w:bCs/>
        </w:rPr>
        <w:tab/>
      </w:r>
      <w:r>
        <w:rPr>
          <w:b/>
          <w:bCs/>
        </w:rPr>
        <w:t xml:space="preserve">UNDERSCORES </w:t>
      </w:r>
      <w:r>
        <w:t xml:space="preserve">the independence of the Court and the consequent need for Member States to provide the Court with sufficient resources for its full operation independently, both with regard to its structures and financial resources and </w:t>
      </w:r>
      <w:r>
        <w:rPr>
          <w:b/>
          <w:bCs/>
        </w:rPr>
        <w:t xml:space="preserve">URGES </w:t>
      </w:r>
      <w:r>
        <w:t>the PRC throu</w:t>
      </w:r>
      <w:r>
        <w:t>gh relevant Sub-Committees concerned to consider the issue within the framework of the 2016 budget.</w:t>
      </w:r>
    </w:p>
    <w:sectPr w:rsidR="005F5E88">
      <w:footnotePr>
        <w:numFmt w:val="upperRoman"/>
      </w:footnotePr>
      <w:pgSz w:w="12240" w:h="16834"/>
      <w:pgMar w:top="1940" w:right="455" w:bottom="2015" w:left="453"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D662A">
      <w:r>
        <w:separator/>
      </w:r>
    </w:p>
  </w:endnote>
  <w:endnote w:type="continuationSeparator" w:id="0">
    <w:p w:rsidR="00000000" w:rsidRDefault="00DD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5E88" w:rsidRDefault="00DD662A">
      <w:r>
        <w:separator/>
      </w:r>
    </w:p>
  </w:footnote>
  <w:footnote w:type="continuationSeparator" w:id="0">
    <w:p w:rsidR="005F5E88" w:rsidRDefault="00DD662A">
      <w:r>
        <w:continuationSeparator/>
      </w:r>
    </w:p>
  </w:footnote>
  <w:footnote w:id="1">
    <w:p w:rsidR="005F5E88" w:rsidRDefault="00DD662A">
      <w:pPr>
        <w:pStyle w:val="Footnote0"/>
        <w:spacing w:line="204" w:lineRule="auto"/>
        <w:ind w:left="960" w:hanging="300"/>
      </w:pPr>
      <w:r>
        <w:rPr>
          <w:rFonts w:ascii="Calibri" w:eastAsia="Calibri" w:hAnsi="Calibri" w:cs="Calibri"/>
          <w:vertAlign w:val="superscript"/>
        </w:rPr>
        <w:footnoteRef/>
      </w:r>
      <w:r>
        <w:rPr>
          <w:rFonts w:ascii="Calibri" w:eastAsia="Calibri" w:hAnsi="Calibri" w:cs="Calibri"/>
        </w:rPr>
        <w:t xml:space="preserve"> Reservation by Libya regarding paragraphs 27,30 and 31 of the Report and the recommendations in paragraphs 78 and 79 thereof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5D3B"/>
    <w:multiLevelType w:val="multilevel"/>
    <w:tmpl w:val="BEC0772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650E3C"/>
    <w:multiLevelType w:val="multilevel"/>
    <w:tmpl w:val="6964AD9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60910288">
    <w:abstractNumId w:val="1"/>
  </w:num>
  <w:num w:numId="2" w16cid:durableId="1579439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E88"/>
    <w:rsid w:val="005F5E88"/>
    <w:rsid w:val="00DD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Arial" w:eastAsia="Arial" w:hAnsi="Arial" w:cs="Arial"/>
      <w:b w:val="0"/>
      <w:bCs w:val="0"/>
      <w:i w:val="0"/>
      <w:iCs w:val="0"/>
      <w:smallCaps w:val="0"/>
      <w:strike w:val="0"/>
      <w:sz w:val="22"/>
      <w:szCs w:val="22"/>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customStyle="1" w:styleId="Footnote0">
    <w:name w:val="Footnote"/>
    <w:basedOn w:val="Normal"/>
    <w:link w:val="Footnote"/>
    <w:pPr>
      <w:ind w:firstLine="140"/>
    </w:pPr>
    <w:rPr>
      <w:rFonts w:ascii="Arial" w:eastAsia="Arial" w:hAnsi="Arial" w:cs="Arial"/>
      <w:sz w:val="22"/>
      <w:szCs w:val="22"/>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2022-10-26T06:22:00Z</dcterms:created>
  <dcterms:modified xsi:type="dcterms:W3CDTF">2022-10-26T06:22:00Z</dcterms:modified>
</cp:coreProperties>
</file>