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6289" w:rsidRDefault="00672879">
      <w:pPr>
        <w:pStyle w:val="BodyText"/>
        <w:spacing w:after="520"/>
        <w:jc w:val="center"/>
      </w:pPr>
      <w:r>
        <w:rPr>
          <w:b/>
          <w:bCs/>
        </w:rPr>
        <w:t>DECISION OF THE PRC SUB-COMMITTEES</w:t>
      </w:r>
    </w:p>
    <w:p w:rsidR="00956289" w:rsidRDefault="00672879">
      <w:pPr>
        <w:pStyle w:val="Heading10"/>
        <w:keepNext/>
        <w:keepLines/>
        <w:spacing w:after="280"/>
      </w:pPr>
      <w:bookmarkStart w:id="0" w:name="bookmark0"/>
      <w:bookmarkStart w:id="1" w:name="bookmark1"/>
      <w:bookmarkStart w:id="2" w:name="bookmark2"/>
      <w:r>
        <w:t>The Executive Council:</w:t>
      </w:r>
      <w:bookmarkEnd w:id="0"/>
      <w:bookmarkEnd w:id="1"/>
      <w:bookmarkEnd w:id="2"/>
    </w:p>
    <w:p w:rsidR="00956289" w:rsidRDefault="00672879" w:rsidP="00672879">
      <w:pPr>
        <w:pStyle w:val="BodyText"/>
        <w:tabs>
          <w:tab w:val="left" w:pos="562"/>
        </w:tabs>
        <w:spacing w:line="230" w:lineRule="auto"/>
        <w:ind w:left="580" w:hanging="580"/>
        <w:jc w:val="both"/>
      </w:pPr>
      <w:bookmarkStart w:id="3" w:name="bookmark3"/>
      <w:bookmarkEnd w:id="3"/>
      <w:r>
        <w:rPr>
          <w:b/>
          <w:bCs/>
        </w:rPr>
        <w:t>1.</w:t>
      </w:r>
      <w:r>
        <w:rPr>
          <w:b/>
          <w:bCs/>
        </w:rPr>
        <w:tab/>
      </w:r>
      <w:r>
        <w:rPr>
          <w:b/>
          <w:bCs/>
        </w:rPr>
        <w:t xml:space="preserve">TAKES NOTE </w:t>
      </w:r>
      <w:r>
        <w:t>of the reports of the PRC Sub-Committees and the recommendations contained therein;</w:t>
      </w:r>
    </w:p>
    <w:p w:rsidR="00956289" w:rsidRDefault="00672879" w:rsidP="00672879">
      <w:pPr>
        <w:pStyle w:val="BodyText"/>
        <w:tabs>
          <w:tab w:val="left" w:pos="1273"/>
        </w:tabs>
        <w:ind w:left="1260" w:hanging="680"/>
        <w:jc w:val="both"/>
      </w:pPr>
      <w:bookmarkStart w:id="4" w:name="bookmark4"/>
      <w:bookmarkEnd w:id="4"/>
      <w:r>
        <w:rPr>
          <w:b/>
          <w:bCs/>
          <w:shd w:val="clear" w:color="auto" w:fill="FFFFFF"/>
        </w:rPr>
        <w:t>I.</w:t>
      </w:r>
      <w:r>
        <w:rPr>
          <w:b/>
          <w:bCs/>
          <w:shd w:val="clear" w:color="auto" w:fill="FFFFFF"/>
        </w:rPr>
        <w:tab/>
      </w:r>
      <w:r>
        <w:rPr>
          <w:b/>
          <w:bCs/>
        </w:rPr>
        <w:t xml:space="preserve">ON GENERAL SUPERVISION AND COORDINATION ON BUDGETARY, FINANCIAL AND ADMINISTRATIVE MATTERS - Doc. </w:t>
      </w:r>
      <w:r>
        <w:rPr>
          <w:b/>
          <w:bCs/>
        </w:rPr>
        <w:t>EX.CL/1016(XXXI)i</w:t>
      </w:r>
    </w:p>
    <w:p w:rsidR="00956289" w:rsidRDefault="00672879" w:rsidP="00672879">
      <w:pPr>
        <w:pStyle w:val="Heading10"/>
        <w:keepNext/>
        <w:keepLines/>
        <w:tabs>
          <w:tab w:val="left" w:pos="562"/>
        </w:tabs>
        <w:spacing w:after="280"/>
      </w:pPr>
      <w:bookmarkStart w:id="5" w:name="bookmark7"/>
      <w:bookmarkStart w:id="6" w:name="bookmark5"/>
      <w:bookmarkStart w:id="7" w:name="bookmark6"/>
      <w:bookmarkStart w:id="8" w:name="bookmark8"/>
      <w:bookmarkEnd w:id="5"/>
      <w:r>
        <w:t>2.</w:t>
      </w:r>
      <w:r>
        <w:tab/>
      </w:r>
      <w:r>
        <w:t>APPROVES:</w:t>
      </w:r>
      <w:bookmarkEnd w:id="6"/>
      <w:bookmarkEnd w:id="7"/>
      <w:bookmarkEnd w:id="8"/>
    </w:p>
    <w:p w:rsidR="00956289" w:rsidRDefault="00672879" w:rsidP="00672879">
      <w:pPr>
        <w:pStyle w:val="BodyText"/>
        <w:tabs>
          <w:tab w:val="left" w:pos="1273"/>
        </w:tabs>
        <w:spacing w:line="230" w:lineRule="auto"/>
        <w:ind w:left="1260" w:hanging="540"/>
        <w:jc w:val="both"/>
      </w:pPr>
      <w:bookmarkStart w:id="9" w:name="bookmark9"/>
      <w:bookmarkEnd w:id="9"/>
      <w:r>
        <w:t>i)</w:t>
      </w:r>
      <w:r>
        <w:tab/>
      </w:r>
      <w:r>
        <w:t>the implementation of the revised AU Compensation, Benefits and Allowances effective 1</w:t>
      </w:r>
      <w:r>
        <w:rPr>
          <w:vertAlign w:val="superscript"/>
        </w:rPr>
        <w:t>st</w:t>
      </w:r>
      <w:r>
        <w:t xml:space="preserve"> January 2018;</w:t>
      </w:r>
    </w:p>
    <w:p w:rsidR="00956289" w:rsidRDefault="00672879" w:rsidP="00672879">
      <w:pPr>
        <w:pStyle w:val="BodyText"/>
        <w:tabs>
          <w:tab w:val="left" w:pos="1273"/>
        </w:tabs>
        <w:spacing w:line="221" w:lineRule="auto"/>
        <w:ind w:left="1260" w:hanging="540"/>
        <w:jc w:val="both"/>
      </w:pPr>
      <w:bookmarkStart w:id="10" w:name="bookmark10"/>
      <w:bookmarkEnd w:id="10"/>
      <w:r>
        <w:t>ii)</w:t>
      </w:r>
      <w:r>
        <w:tab/>
      </w:r>
      <w:r>
        <w:t>the recommendations specified in the Report which are summarized as follows:</w:t>
      </w:r>
    </w:p>
    <w:p w:rsidR="00956289" w:rsidRDefault="00672879" w:rsidP="00672879">
      <w:pPr>
        <w:pStyle w:val="BodyText"/>
        <w:tabs>
          <w:tab w:val="left" w:pos="1845"/>
        </w:tabs>
        <w:spacing w:line="226" w:lineRule="auto"/>
        <w:ind w:left="1840" w:hanging="560"/>
        <w:jc w:val="both"/>
      </w:pPr>
      <w:bookmarkStart w:id="11" w:name="bookmark11"/>
      <w:bookmarkEnd w:id="11"/>
      <w:r>
        <w:t>(a)</w:t>
      </w:r>
      <w:r>
        <w:tab/>
      </w:r>
      <w:r>
        <w:rPr>
          <w:b/>
          <w:bCs/>
        </w:rPr>
        <w:t xml:space="preserve">AU Basic Salary Scale: </w:t>
      </w:r>
      <w:r>
        <w:t xml:space="preserve">Revision of the AU Basic </w:t>
      </w:r>
      <w:r>
        <w:t>Salary Scale by an increase of 6.1%;</w:t>
      </w:r>
    </w:p>
    <w:p w:rsidR="00956289" w:rsidRDefault="00672879" w:rsidP="00672879">
      <w:pPr>
        <w:pStyle w:val="BodyText"/>
        <w:tabs>
          <w:tab w:val="left" w:pos="1845"/>
        </w:tabs>
        <w:ind w:left="1840" w:hanging="560"/>
        <w:jc w:val="both"/>
      </w:pPr>
      <w:bookmarkStart w:id="12" w:name="bookmark12"/>
      <w:bookmarkEnd w:id="12"/>
      <w:r>
        <w:t>(b)</w:t>
      </w:r>
      <w:r>
        <w:tab/>
      </w:r>
      <w:r>
        <w:rPr>
          <w:b/>
          <w:bCs/>
        </w:rPr>
        <w:t xml:space="preserve">D2 Salary Scale: </w:t>
      </w:r>
      <w:r>
        <w:t>Creation of a new D2 Salary Scale with the standard 3% progression on the subsequent steps as per incremental methodology of the AU scale;</w:t>
      </w:r>
    </w:p>
    <w:p w:rsidR="00956289" w:rsidRDefault="00672879" w:rsidP="00672879">
      <w:pPr>
        <w:pStyle w:val="BodyText"/>
        <w:tabs>
          <w:tab w:val="left" w:pos="1845"/>
        </w:tabs>
        <w:spacing w:line="226" w:lineRule="auto"/>
        <w:ind w:left="1840" w:hanging="560"/>
        <w:jc w:val="both"/>
      </w:pPr>
      <w:bookmarkStart w:id="13" w:name="bookmark13"/>
      <w:bookmarkEnd w:id="13"/>
      <w:r>
        <w:t>(c)</w:t>
      </w:r>
      <w:r>
        <w:tab/>
      </w:r>
      <w:r>
        <w:rPr>
          <w:b/>
          <w:bCs/>
        </w:rPr>
        <w:t xml:space="preserve">Basic salaries of Elected Officials: </w:t>
      </w:r>
      <w:r>
        <w:t>Revision of the monthly ba</w:t>
      </w:r>
      <w:r>
        <w:t>sic salaries of Elected Officials:</w:t>
      </w:r>
    </w:p>
    <w:p w:rsidR="00956289" w:rsidRDefault="00672879" w:rsidP="00672879">
      <w:pPr>
        <w:pStyle w:val="BodyText"/>
        <w:tabs>
          <w:tab w:val="left" w:pos="2410"/>
        </w:tabs>
        <w:ind w:left="2400" w:hanging="660"/>
        <w:jc w:val="both"/>
      </w:pPr>
      <w:bookmarkStart w:id="14" w:name="bookmark14"/>
      <w:bookmarkEnd w:id="14"/>
      <w:r>
        <w:t>(i)</w:t>
      </w:r>
      <w:r>
        <w:tab/>
      </w:r>
      <w:r>
        <w:rPr>
          <w:b/>
          <w:bCs/>
        </w:rPr>
        <w:t xml:space="preserve">Chairperson of the AUC Commission </w:t>
      </w:r>
      <w:r>
        <w:t>be calculated at D2 Step 10 monthly basic salary (US$10,384.50) increased by 50%, i.e. (US$10,384.5x1.50) = US$15,576.75;</w:t>
      </w:r>
    </w:p>
    <w:p w:rsidR="00956289" w:rsidRDefault="00672879" w:rsidP="00672879">
      <w:pPr>
        <w:pStyle w:val="BodyText"/>
        <w:tabs>
          <w:tab w:val="left" w:pos="2410"/>
        </w:tabs>
        <w:ind w:left="2400" w:hanging="660"/>
        <w:jc w:val="both"/>
      </w:pPr>
      <w:bookmarkStart w:id="15" w:name="bookmark15"/>
      <w:bookmarkEnd w:id="15"/>
      <w:r>
        <w:t>(ii)</w:t>
      </w:r>
      <w:r>
        <w:tab/>
      </w:r>
      <w:r>
        <w:rPr>
          <w:b/>
          <w:bCs/>
        </w:rPr>
        <w:t xml:space="preserve">Deputy Chairperson of the AUC Commission </w:t>
      </w:r>
      <w:r>
        <w:t>be calculated at D2 Step 10 monthly basic salary (US$10,384.50) increased by 32.5%, i.e. (US$10,384.50 x1.325) = US$ 13,759.46; and</w:t>
      </w:r>
    </w:p>
    <w:p w:rsidR="00956289" w:rsidRDefault="00672879" w:rsidP="00672879">
      <w:pPr>
        <w:pStyle w:val="BodyText"/>
        <w:tabs>
          <w:tab w:val="left" w:pos="2410"/>
        </w:tabs>
        <w:ind w:left="2400" w:hanging="720"/>
        <w:jc w:val="both"/>
      </w:pPr>
      <w:bookmarkStart w:id="16" w:name="bookmark16"/>
      <w:bookmarkEnd w:id="16"/>
      <w:r>
        <w:t>(iii)</w:t>
      </w:r>
      <w:r>
        <w:tab/>
      </w:r>
      <w:r>
        <w:rPr>
          <w:b/>
          <w:bCs/>
        </w:rPr>
        <w:t>Commissioners of the AUC Commission, President of the African Court on Human and Pe</w:t>
      </w:r>
      <w:r>
        <w:rPr>
          <w:b/>
          <w:bCs/>
        </w:rPr>
        <w:t xml:space="preserve">ople’s Rights, Chief Executive Officer of NEPAD </w:t>
      </w:r>
      <w:r>
        <w:t>be calculated at D2 Step 10 monthly basic salary (US$10,384.50) increased by 15.0%, i.e. (US$10,384.50 x1.15) = US$11,942.18;</w:t>
      </w:r>
    </w:p>
    <w:p w:rsidR="00956289" w:rsidRDefault="00672879" w:rsidP="00672879">
      <w:pPr>
        <w:pStyle w:val="BodyText"/>
        <w:tabs>
          <w:tab w:val="left" w:pos="1845"/>
        </w:tabs>
        <w:ind w:left="1840" w:hanging="560"/>
        <w:jc w:val="both"/>
      </w:pPr>
      <w:bookmarkStart w:id="17" w:name="bookmark17"/>
      <w:bookmarkEnd w:id="17"/>
      <w:r>
        <w:t>(d)</w:t>
      </w:r>
      <w:r>
        <w:tab/>
      </w:r>
      <w:r>
        <w:rPr>
          <w:b/>
          <w:bCs/>
        </w:rPr>
        <w:t xml:space="preserve">Post Adjustment Rate: </w:t>
      </w:r>
      <w:r>
        <w:t>Retention of the existing AU Post Adjustment Rate for the va</w:t>
      </w:r>
      <w:r>
        <w:t>rious AU duty stations;</w:t>
      </w:r>
    </w:p>
    <w:p w:rsidR="00956289" w:rsidRDefault="00672879" w:rsidP="00672879">
      <w:pPr>
        <w:pStyle w:val="BodyText"/>
        <w:tabs>
          <w:tab w:val="left" w:pos="1845"/>
        </w:tabs>
        <w:ind w:left="1840" w:hanging="560"/>
        <w:jc w:val="both"/>
      </w:pPr>
      <w:bookmarkStart w:id="18" w:name="bookmark18"/>
      <w:bookmarkEnd w:id="18"/>
      <w:r>
        <w:t>(e)</w:t>
      </w:r>
      <w:r>
        <w:tab/>
      </w:r>
      <w:r>
        <w:rPr>
          <w:b/>
          <w:bCs/>
        </w:rPr>
        <w:t xml:space="preserve">Spouse Allowance: </w:t>
      </w:r>
      <w:r>
        <w:t>Retention of the Spouse Allowance of 5% of Basic Salary, on the condition that eligible spouse is not receiving remuneration exceeding USD500.00 per month;</w:t>
      </w:r>
    </w:p>
    <w:p w:rsidR="00956289" w:rsidRDefault="00672879" w:rsidP="00672879">
      <w:pPr>
        <w:pStyle w:val="BodyText"/>
        <w:tabs>
          <w:tab w:val="left" w:pos="1850"/>
        </w:tabs>
        <w:spacing w:line="233" w:lineRule="auto"/>
        <w:ind w:left="1820" w:hanging="540"/>
        <w:jc w:val="both"/>
      </w:pPr>
      <w:bookmarkStart w:id="19" w:name="bookmark19"/>
      <w:bookmarkEnd w:id="19"/>
      <w:r>
        <w:t>(f)</w:t>
      </w:r>
      <w:r>
        <w:tab/>
      </w:r>
      <w:r>
        <w:rPr>
          <w:b/>
          <w:bCs/>
        </w:rPr>
        <w:t xml:space="preserve">Employer and Employee Pension Contribution: </w:t>
      </w:r>
      <w:r>
        <w:t>Retention of t</w:t>
      </w:r>
      <w:r>
        <w:t>he existing Employer/Employee Pension Contribution for all regular staff as follows:</w:t>
      </w:r>
    </w:p>
    <w:p w:rsidR="00956289" w:rsidRDefault="00672879" w:rsidP="00672879">
      <w:pPr>
        <w:pStyle w:val="BodyText"/>
        <w:tabs>
          <w:tab w:val="left" w:pos="2394"/>
        </w:tabs>
        <w:spacing w:after="0" w:line="233" w:lineRule="auto"/>
        <w:ind w:left="2400" w:hanging="560"/>
        <w:jc w:val="both"/>
      </w:pPr>
      <w:bookmarkStart w:id="20" w:name="bookmark20"/>
      <w:bookmarkEnd w:id="20"/>
      <w:r>
        <w:lastRenderedPageBreak/>
        <w:t>(i)</w:t>
      </w:r>
      <w:r>
        <w:tab/>
      </w:r>
      <w:r>
        <w:t>Employer Pension Contribution: 19% of the Basic Salary plus 17%; and</w:t>
      </w:r>
    </w:p>
    <w:p w:rsidR="00956289" w:rsidRDefault="00672879" w:rsidP="00672879">
      <w:pPr>
        <w:pStyle w:val="BodyText"/>
        <w:tabs>
          <w:tab w:val="left" w:pos="2394"/>
        </w:tabs>
        <w:spacing w:line="233" w:lineRule="auto"/>
        <w:ind w:left="2400" w:hanging="560"/>
        <w:jc w:val="both"/>
      </w:pPr>
      <w:bookmarkStart w:id="21" w:name="bookmark21"/>
      <w:bookmarkEnd w:id="21"/>
      <w:r>
        <w:t>(ii)</w:t>
      </w:r>
      <w:r>
        <w:tab/>
      </w:r>
      <w:r>
        <w:t>Employee Pension Contribution: 12% of the Basic Salary plus 17%</w:t>
      </w:r>
    </w:p>
    <w:p w:rsidR="00956289" w:rsidRDefault="00672879" w:rsidP="00672879">
      <w:pPr>
        <w:pStyle w:val="BodyText"/>
        <w:tabs>
          <w:tab w:val="left" w:pos="1850"/>
        </w:tabs>
        <w:spacing w:line="230" w:lineRule="auto"/>
        <w:ind w:left="1820" w:hanging="540"/>
        <w:jc w:val="both"/>
      </w:pPr>
      <w:bookmarkStart w:id="22" w:name="bookmark22"/>
      <w:bookmarkEnd w:id="22"/>
      <w:r>
        <w:t>(g)</w:t>
      </w:r>
      <w:r>
        <w:tab/>
      </w:r>
      <w:r>
        <w:rPr>
          <w:b/>
          <w:bCs/>
        </w:rPr>
        <w:t xml:space="preserve">Housing Allowance: </w:t>
      </w:r>
      <w:r>
        <w:t>Revision of the Hou</w:t>
      </w:r>
      <w:r>
        <w:t>sing Allowance Rates for the various AU duty stations as annexed;</w:t>
      </w:r>
    </w:p>
    <w:p w:rsidR="00956289" w:rsidRDefault="00672879" w:rsidP="00672879">
      <w:pPr>
        <w:pStyle w:val="BodyText"/>
        <w:tabs>
          <w:tab w:val="left" w:pos="1850"/>
        </w:tabs>
        <w:ind w:left="1820" w:hanging="540"/>
        <w:jc w:val="both"/>
      </w:pPr>
      <w:bookmarkStart w:id="23" w:name="bookmark23"/>
      <w:bookmarkEnd w:id="23"/>
      <w:r>
        <w:t>(h)</w:t>
      </w:r>
      <w:r>
        <w:tab/>
      </w:r>
      <w:r>
        <w:rPr>
          <w:b/>
          <w:bCs/>
        </w:rPr>
        <w:t xml:space="preserve">Education Allowance: </w:t>
      </w:r>
      <w:r>
        <w:t xml:space="preserve">Revision of the Education Allowance rates and implementation of 100% payment of the school fees for a dependent child, incurred by an eligible staff member, whose </w:t>
      </w:r>
      <w:r>
        <w:t>duty station is in Africa or any other part of the world other than Europe and North America as follows:</w:t>
      </w:r>
    </w:p>
    <w:p w:rsidR="00956289" w:rsidRDefault="00672879">
      <w:pPr>
        <w:pStyle w:val="BodyText"/>
        <w:spacing w:after="0" w:line="233" w:lineRule="auto"/>
        <w:ind w:left="2060" w:firstLine="20"/>
        <w:jc w:val="both"/>
      </w:pPr>
      <w:r>
        <w:t>Up to USD10,000.00 per eligible child per year for internationally recruited regular Staff posted in these regions; and</w:t>
      </w:r>
    </w:p>
    <w:p w:rsidR="00956289" w:rsidRDefault="00672879" w:rsidP="00672879">
      <w:pPr>
        <w:pStyle w:val="BodyText"/>
        <w:tabs>
          <w:tab w:val="left" w:pos="2070"/>
        </w:tabs>
        <w:spacing w:line="233" w:lineRule="auto"/>
        <w:ind w:left="2060" w:hanging="360"/>
        <w:jc w:val="both"/>
      </w:pPr>
      <w:bookmarkStart w:id="24" w:name="bookmark24"/>
      <w:bookmarkEnd w:id="24"/>
      <w:r>
        <w:t>-</w:t>
      </w:r>
      <w:r>
        <w:tab/>
      </w:r>
      <w:r>
        <w:t xml:space="preserve">Up to USD3,300.00 per eligible </w:t>
      </w:r>
      <w:r>
        <w:t>child per year for national regular professional staff and locally recruited regular staff posted in these regions.</w:t>
      </w:r>
    </w:p>
    <w:p w:rsidR="00956289" w:rsidRDefault="00672879">
      <w:pPr>
        <w:pStyle w:val="BodyText"/>
        <w:spacing w:line="230" w:lineRule="auto"/>
        <w:ind w:left="1820" w:firstLine="20"/>
        <w:jc w:val="both"/>
      </w:pPr>
      <w:r>
        <w:t>For eligible staff members whose duty station is in Europe or North America the education allowance shall be:</w:t>
      </w:r>
    </w:p>
    <w:p w:rsidR="00956289" w:rsidRDefault="00672879" w:rsidP="00672879">
      <w:pPr>
        <w:pStyle w:val="BodyText"/>
        <w:tabs>
          <w:tab w:val="left" w:pos="2070"/>
        </w:tabs>
        <w:spacing w:after="0" w:line="230" w:lineRule="auto"/>
        <w:ind w:left="2060" w:hanging="360"/>
        <w:jc w:val="both"/>
      </w:pPr>
      <w:bookmarkStart w:id="25" w:name="bookmark25"/>
      <w:bookmarkEnd w:id="25"/>
      <w:r>
        <w:t>-</w:t>
      </w:r>
      <w:r>
        <w:tab/>
      </w:r>
      <w:r>
        <w:t>Up to USD15,000.00 per eligibl</w:t>
      </w:r>
      <w:r>
        <w:t>e child per year for internationally recruited regular Staff; and</w:t>
      </w:r>
    </w:p>
    <w:p w:rsidR="00956289" w:rsidRDefault="00672879" w:rsidP="00672879">
      <w:pPr>
        <w:pStyle w:val="BodyText"/>
        <w:tabs>
          <w:tab w:val="left" w:pos="2070"/>
        </w:tabs>
        <w:ind w:left="2060" w:hanging="360"/>
        <w:jc w:val="both"/>
      </w:pPr>
      <w:bookmarkStart w:id="26" w:name="bookmark26"/>
      <w:bookmarkEnd w:id="26"/>
      <w:r>
        <w:t>-</w:t>
      </w:r>
      <w:r>
        <w:tab/>
      </w:r>
      <w:r>
        <w:t>Up to USD5,000.00 per eligible child per year for national regular professional staff and locally recruited regular staff.</w:t>
      </w:r>
    </w:p>
    <w:p w:rsidR="00956289" w:rsidRDefault="00672879" w:rsidP="00672879">
      <w:pPr>
        <w:pStyle w:val="BodyText"/>
        <w:tabs>
          <w:tab w:val="left" w:pos="1850"/>
        </w:tabs>
        <w:spacing w:line="233" w:lineRule="auto"/>
        <w:ind w:left="1820" w:hanging="540"/>
        <w:jc w:val="both"/>
      </w:pPr>
      <w:bookmarkStart w:id="27" w:name="bookmark27"/>
      <w:bookmarkEnd w:id="27"/>
      <w:r>
        <w:t>(i)</w:t>
      </w:r>
      <w:r>
        <w:tab/>
      </w:r>
      <w:r>
        <w:rPr>
          <w:b/>
          <w:bCs/>
        </w:rPr>
        <w:t xml:space="preserve">Dependency Allowance: </w:t>
      </w:r>
      <w:r>
        <w:t>Retention of the existing Dependency Allowanc</w:t>
      </w:r>
      <w:r>
        <w:t>e for regular staff members of USD250.00 per eligible child per year;</w:t>
      </w:r>
    </w:p>
    <w:p w:rsidR="00956289" w:rsidRDefault="00672879" w:rsidP="00672879">
      <w:pPr>
        <w:pStyle w:val="BodyText"/>
        <w:tabs>
          <w:tab w:val="left" w:pos="1850"/>
        </w:tabs>
        <w:ind w:left="1820" w:hanging="540"/>
        <w:jc w:val="both"/>
      </w:pPr>
      <w:bookmarkStart w:id="28" w:name="bookmark28"/>
      <w:bookmarkEnd w:id="28"/>
      <w:r>
        <w:t>(j)</w:t>
      </w:r>
      <w:r>
        <w:tab/>
      </w:r>
      <w:r>
        <w:rPr>
          <w:b/>
          <w:bCs/>
        </w:rPr>
        <w:t xml:space="preserve">Non-Residence Allowance: </w:t>
      </w:r>
      <w:r>
        <w:t>Retention of the existing Non- Resident Allowance for internationally-recruited General Service Staff (GSA4 and above only) at the rate of:</w:t>
      </w:r>
    </w:p>
    <w:p w:rsidR="00956289" w:rsidRDefault="00672879" w:rsidP="00672879">
      <w:pPr>
        <w:pStyle w:val="BodyText"/>
        <w:tabs>
          <w:tab w:val="left" w:pos="2394"/>
        </w:tabs>
        <w:spacing w:after="0" w:line="233" w:lineRule="auto"/>
        <w:ind w:left="1820"/>
      </w:pPr>
      <w:bookmarkStart w:id="29" w:name="bookmark29"/>
      <w:bookmarkEnd w:id="29"/>
      <w:r>
        <w:t>(i)</w:t>
      </w:r>
      <w:r>
        <w:tab/>
      </w:r>
      <w:r>
        <w:t>With Dependents: US$3</w:t>
      </w:r>
      <w:r>
        <w:t>,000.00 per annum; and</w:t>
      </w:r>
    </w:p>
    <w:p w:rsidR="00956289" w:rsidRDefault="00672879" w:rsidP="00672879">
      <w:pPr>
        <w:pStyle w:val="BodyText"/>
        <w:tabs>
          <w:tab w:val="left" w:pos="2394"/>
        </w:tabs>
        <w:spacing w:line="233" w:lineRule="auto"/>
        <w:ind w:left="1820"/>
      </w:pPr>
      <w:bookmarkStart w:id="30" w:name="bookmark30"/>
      <w:bookmarkEnd w:id="30"/>
      <w:r>
        <w:t>(ii)</w:t>
      </w:r>
      <w:r>
        <w:tab/>
      </w:r>
      <w:r>
        <w:t>Without Dependents: US$2,400.00 per annum</w:t>
      </w:r>
    </w:p>
    <w:p w:rsidR="00956289" w:rsidRDefault="00672879" w:rsidP="00672879">
      <w:pPr>
        <w:pStyle w:val="BodyText"/>
        <w:tabs>
          <w:tab w:val="left" w:pos="1850"/>
        </w:tabs>
        <w:spacing w:line="233" w:lineRule="auto"/>
        <w:ind w:left="1820" w:hanging="540"/>
        <w:jc w:val="both"/>
      </w:pPr>
      <w:bookmarkStart w:id="31" w:name="bookmark31"/>
      <w:bookmarkEnd w:id="31"/>
      <w:r>
        <w:t>(k)</w:t>
      </w:r>
      <w:r>
        <w:tab/>
      </w:r>
      <w:r>
        <w:rPr>
          <w:b/>
          <w:bCs/>
        </w:rPr>
        <w:t xml:space="preserve">Installation Allowance: </w:t>
      </w:r>
      <w:r>
        <w:t>Revision of the Installation Allowance for Internationally Recruited Regular Staff Members calculated as follows:</w:t>
      </w:r>
    </w:p>
    <w:p w:rsidR="00956289" w:rsidRDefault="00672879">
      <w:pPr>
        <w:pStyle w:val="BodyText"/>
        <w:ind w:left="2400" w:hanging="560"/>
        <w:jc w:val="both"/>
      </w:pPr>
      <w:r>
        <w:t xml:space="preserve">(i) </w:t>
      </w:r>
      <w:r>
        <w:rPr>
          <w:b/>
          <w:bCs/>
        </w:rPr>
        <w:t xml:space="preserve">Staff Member Installation Allowance: </w:t>
      </w:r>
      <w:r>
        <w:t>100% x 30 days DSA at the applicable rate of the duty-station;</w:t>
      </w:r>
    </w:p>
    <w:p w:rsidR="00956289" w:rsidRDefault="00672879" w:rsidP="00672879">
      <w:pPr>
        <w:pStyle w:val="BodyText"/>
        <w:tabs>
          <w:tab w:val="left" w:pos="2405"/>
        </w:tabs>
        <w:spacing w:after="0" w:line="230" w:lineRule="auto"/>
        <w:ind w:left="2400" w:hanging="560"/>
        <w:jc w:val="both"/>
      </w:pPr>
      <w:bookmarkStart w:id="32" w:name="bookmark32"/>
      <w:bookmarkEnd w:id="32"/>
      <w:r>
        <w:t>(ii)</w:t>
      </w:r>
      <w:r>
        <w:tab/>
      </w:r>
      <w:r>
        <w:rPr>
          <w:b/>
          <w:bCs/>
        </w:rPr>
        <w:t xml:space="preserve">Eligible Spouse: </w:t>
      </w:r>
      <w:r>
        <w:t>50% of the Staff Member’s Installation Allowance;</w:t>
      </w:r>
    </w:p>
    <w:p w:rsidR="00956289" w:rsidRDefault="00672879" w:rsidP="00672879">
      <w:pPr>
        <w:pStyle w:val="BodyText"/>
        <w:tabs>
          <w:tab w:val="left" w:pos="2405"/>
        </w:tabs>
        <w:spacing w:after="0" w:line="230" w:lineRule="auto"/>
        <w:ind w:left="2400" w:hanging="560"/>
        <w:jc w:val="both"/>
      </w:pPr>
      <w:bookmarkStart w:id="33" w:name="bookmark33"/>
      <w:bookmarkEnd w:id="33"/>
      <w:r>
        <w:t>(iii)</w:t>
      </w:r>
      <w:r>
        <w:tab/>
      </w:r>
      <w:r>
        <w:rPr>
          <w:b/>
          <w:bCs/>
        </w:rPr>
        <w:t xml:space="preserve">Eligible children 12years+: </w:t>
      </w:r>
      <w:r>
        <w:t>100% of the Staff Member’s Installation Allowance;</w:t>
      </w:r>
    </w:p>
    <w:p w:rsidR="00956289" w:rsidRDefault="00672879" w:rsidP="00672879">
      <w:pPr>
        <w:pStyle w:val="BodyText"/>
        <w:tabs>
          <w:tab w:val="left" w:pos="2405"/>
        </w:tabs>
        <w:spacing w:after="0" w:line="233" w:lineRule="auto"/>
        <w:ind w:left="2400" w:hanging="560"/>
        <w:jc w:val="both"/>
      </w:pPr>
      <w:bookmarkStart w:id="34" w:name="bookmark34"/>
      <w:bookmarkEnd w:id="34"/>
      <w:r>
        <w:t>(iv)</w:t>
      </w:r>
      <w:r>
        <w:tab/>
      </w:r>
      <w:r>
        <w:rPr>
          <w:b/>
          <w:bCs/>
        </w:rPr>
        <w:t xml:space="preserve">Eligible Children under 12 years and up to 2 years of age: </w:t>
      </w:r>
      <w:r>
        <w:t>50% of the Staff Member’s Installation Allowance; and</w:t>
      </w:r>
    </w:p>
    <w:p w:rsidR="00956289" w:rsidRDefault="00672879" w:rsidP="00672879">
      <w:pPr>
        <w:pStyle w:val="BodyText"/>
        <w:tabs>
          <w:tab w:val="left" w:pos="2405"/>
        </w:tabs>
        <w:spacing w:after="260" w:line="233" w:lineRule="auto"/>
        <w:ind w:left="1820"/>
      </w:pPr>
      <w:bookmarkStart w:id="35" w:name="bookmark35"/>
      <w:bookmarkEnd w:id="35"/>
      <w:r>
        <w:t>(v)</w:t>
      </w:r>
      <w:r>
        <w:tab/>
      </w:r>
      <w:r>
        <w:rPr>
          <w:b/>
          <w:bCs/>
        </w:rPr>
        <w:t xml:space="preserve">Infant (less than 2 years): </w:t>
      </w:r>
      <w:r>
        <w:t>No Installation Allowance.</w:t>
      </w:r>
    </w:p>
    <w:p w:rsidR="00956289" w:rsidRDefault="00672879">
      <w:pPr>
        <w:pStyle w:val="BodyText"/>
        <w:spacing w:after="260"/>
        <w:ind w:left="1820" w:hanging="540"/>
        <w:jc w:val="both"/>
      </w:pPr>
      <w:r>
        <w:t xml:space="preserve">(I) </w:t>
      </w:r>
      <w:r>
        <w:rPr>
          <w:b/>
          <w:bCs/>
        </w:rPr>
        <w:t xml:space="preserve">Conflict Zone Allowance: </w:t>
      </w:r>
      <w:r>
        <w:t xml:space="preserve">Discontinuation of the current application of specific job </w:t>
      </w:r>
      <w:r>
        <w:t xml:space="preserve">grade plus one (e.g. P3 +1) and introduction of a Conflict Zone Allowance of a maximum of 35% basic salary for those staff members posted in conflict </w:t>
      </w:r>
      <w:r>
        <w:lastRenderedPageBreak/>
        <w:t>zone as determined by the AU Peace and Security Council. Those current staff members who had been placed u</w:t>
      </w:r>
      <w:r>
        <w:t>nder this practice shall be reverted to their original job grading and be paid a Conflict Zone Allowance;</w:t>
      </w:r>
    </w:p>
    <w:p w:rsidR="00956289" w:rsidRDefault="00672879">
      <w:pPr>
        <w:pStyle w:val="BodyText"/>
        <w:spacing w:after="260"/>
        <w:ind w:left="1820" w:hanging="540"/>
        <w:jc w:val="both"/>
      </w:pPr>
      <w:r>
        <w:rPr>
          <w:b/>
          <w:bCs/>
        </w:rPr>
        <w:t xml:space="preserve">(rn) Rent for Official Residence of AUC Commissioners: </w:t>
      </w:r>
      <w:r>
        <w:t>Discontinuation of the monthly payment of Housing Allowance to AUC Commissioners and introducti</w:t>
      </w:r>
      <w:r>
        <w:t>on of a new Rental Budget line within the AHRMD Operational Budget at the rate of USD6000.00 per month per AUC Commissioner which shall include the cost for renting an unfurnished decent residence, payment of utility bills and maintenance of generators and</w:t>
      </w:r>
      <w:r>
        <w:t xml:space="preserve"> premises. The budget shall be managed by Administration and Facilities Management Division.</w:t>
      </w:r>
    </w:p>
    <w:p w:rsidR="00956289" w:rsidRDefault="00672879">
      <w:pPr>
        <w:pStyle w:val="BodyText"/>
        <w:spacing w:after="260"/>
        <w:ind w:left="1820" w:hanging="540"/>
        <w:jc w:val="both"/>
      </w:pPr>
      <w:r>
        <w:t xml:space="preserve">(n) </w:t>
      </w:r>
      <w:r>
        <w:rPr>
          <w:b/>
          <w:bCs/>
        </w:rPr>
        <w:t xml:space="preserve">Timeframe for the phasing out of the Preferential Rates for Staff in the Geneva and Brussels Offices: </w:t>
      </w:r>
      <w:r>
        <w:t>pending the dissemination of the studies on AU salaries a</w:t>
      </w:r>
      <w:r>
        <w:t>nd allowances to Member States and their consideration by the Executive Council at the next Ordinary Session in January 2018.</w:t>
      </w:r>
    </w:p>
    <w:p w:rsidR="00956289" w:rsidRDefault="00672879" w:rsidP="00672879">
      <w:pPr>
        <w:pStyle w:val="BodyText"/>
        <w:tabs>
          <w:tab w:val="left" w:pos="576"/>
        </w:tabs>
        <w:spacing w:after="260"/>
        <w:ind w:left="560" w:hanging="560"/>
        <w:jc w:val="both"/>
      </w:pPr>
      <w:bookmarkStart w:id="36" w:name="bookmark36"/>
      <w:bookmarkEnd w:id="36"/>
      <w:r>
        <w:rPr>
          <w:b/>
          <w:bCs/>
        </w:rPr>
        <w:t>3.</w:t>
      </w:r>
      <w:r>
        <w:rPr>
          <w:b/>
          <w:bCs/>
        </w:rPr>
        <w:tab/>
      </w:r>
      <w:r>
        <w:rPr>
          <w:b/>
          <w:bCs/>
        </w:rPr>
        <w:t xml:space="preserve">RECOMMENDS </w:t>
      </w:r>
      <w:r>
        <w:t>to the Assembly the amendments of Rule 22.3 (a) (iv) and (v) on Education Allowance; Rule 23.5 (a) and 23.6 (a) on Inst</w:t>
      </w:r>
      <w:r>
        <w:t>allation Allowance; and Rule 43.2 on Compensation for death to read as follows:</w:t>
      </w:r>
    </w:p>
    <w:p w:rsidR="00956289" w:rsidRDefault="00672879" w:rsidP="00672879">
      <w:pPr>
        <w:pStyle w:val="BodyText"/>
        <w:tabs>
          <w:tab w:val="left" w:pos="1292"/>
        </w:tabs>
        <w:spacing w:after="260"/>
        <w:ind w:firstLine="740"/>
      </w:pPr>
      <w:bookmarkStart w:id="37" w:name="bookmark37"/>
      <w:bookmarkEnd w:id="37"/>
      <w:r>
        <w:rPr>
          <w:b/>
          <w:bCs/>
        </w:rPr>
        <w:t>A.</w:t>
      </w:r>
      <w:r>
        <w:rPr>
          <w:b/>
          <w:bCs/>
        </w:rPr>
        <w:tab/>
      </w:r>
      <w:r>
        <w:rPr>
          <w:b/>
          <w:bCs/>
          <w:u w:val="single"/>
        </w:rPr>
        <w:t>Rule 22.3 (a) (iv) and (v) on Education Allowance</w:t>
      </w:r>
    </w:p>
    <w:p w:rsidR="00956289" w:rsidRDefault="00672879">
      <w:pPr>
        <w:pStyle w:val="BodyText"/>
        <w:spacing w:after="260"/>
        <w:ind w:left="2400" w:hanging="1320"/>
        <w:jc w:val="both"/>
      </w:pPr>
      <w:r>
        <w:rPr>
          <w:i/>
          <w:iCs/>
        </w:rPr>
        <w:t xml:space="preserve">Para, (iv) The Union shall pay hundred percent (100%) of the learning expenses and cost which by definition shall only be </w:t>
      </w:r>
      <w:r>
        <w:rPr>
          <w:i/>
          <w:iCs/>
        </w:rPr>
        <w:t>limited to school fees actually incurred by a staff member from the amount recommended by the Chairperson or the competent authority of any other organ and approved by the Executive Council.</w:t>
      </w:r>
    </w:p>
    <w:p w:rsidR="00956289" w:rsidRDefault="00672879">
      <w:pPr>
        <w:pStyle w:val="BodyText"/>
        <w:spacing w:after="260"/>
        <w:ind w:left="2400" w:hanging="1320"/>
        <w:jc w:val="both"/>
      </w:pPr>
      <w:r>
        <w:rPr>
          <w:i/>
          <w:iCs/>
        </w:rPr>
        <w:t>Para, (v) A staff member with more than one eligible child may di</w:t>
      </w:r>
      <w:r>
        <w:rPr>
          <w:i/>
          <w:iCs/>
        </w:rPr>
        <w:t>scretionally spend beyond the 100% approval expenditure for any one child provided the aggregate educational expenditure for all his or her children is not more than the authorized 100% expenditure of the approved educational allowance of all his or her ch</w:t>
      </w:r>
      <w:r>
        <w:rPr>
          <w:i/>
          <w:iCs/>
        </w:rPr>
        <w:t>ildren.</w:t>
      </w:r>
    </w:p>
    <w:p w:rsidR="00956289" w:rsidRDefault="00672879" w:rsidP="00672879">
      <w:pPr>
        <w:pStyle w:val="Heading10"/>
        <w:keepNext/>
        <w:keepLines/>
        <w:tabs>
          <w:tab w:val="left" w:pos="1278"/>
        </w:tabs>
        <w:spacing w:after="260"/>
        <w:ind w:firstLine="740"/>
        <w:jc w:val="both"/>
      </w:pPr>
      <w:bookmarkStart w:id="38" w:name="bookmark40"/>
      <w:bookmarkStart w:id="39" w:name="bookmark38"/>
      <w:bookmarkStart w:id="40" w:name="bookmark39"/>
      <w:bookmarkStart w:id="41" w:name="bookmark41"/>
      <w:bookmarkEnd w:id="38"/>
      <w:r>
        <w:t>B.</w:t>
      </w:r>
      <w:r>
        <w:tab/>
      </w:r>
      <w:r>
        <w:rPr>
          <w:u w:val="single"/>
        </w:rPr>
        <w:t>Rule 23.5 (a) and 23.6 (a) on Installation Allowance</w:t>
      </w:r>
      <w:bookmarkEnd w:id="39"/>
      <w:bookmarkEnd w:id="40"/>
      <w:bookmarkEnd w:id="41"/>
    </w:p>
    <w:p w:rsidR="00956289" w:rsidRDefault="00672879">
      <w:pPr>
        <w:pStyle w:val="BodyText"/>
        <w:spacing w:after="0"/>
        <w:ind w:left="1260"/>
        <w:jc w:val="both"/>
      </w:pPr>
      <w:r>
        <w:t>Rule 23.5(a):</w:t>
      </w:r>
    </w:p>
    <w:p w:rsidR="00956289" w:rsidRDefault="00672879">
      <w:pPr>
        <w:pStyle w:val="BodyText"/>
        <w:spacing w:after="260"/>
        <w:ind w:left="1260" w:firstLine="20"/>
        <w:jc w:val="both"/>
      </w:pPr>
      <w:r>
        <w:rPr>
          <w:i/>
          <w:iCs/>
        </w:rPr>
        <w:t>On arrival at his or her duty station, the newly recruited staff member shall receive an allowance to meet extra-ordinary living expenses consisting of the full rate of the daily su</w:t>
      </w:r>
      <w:r>
        <w:rPr>
          <w:i/>
          <w:iCs/>
        </w:rPr>
        <w:t>bsistence allowance authorized under the preceding paragraph for himself or herself; fifty percent (50%) of that amount for eligible spouse; one hundred percent (100%) of that amount for eligible children 12 years and above; and fifty percent (50%) of that</w:t>
      </w:r>
      <w:r>
        <w:rPr>
          <w:i/>
          <w:iCs/>
        </w:rPr>
        <w:t xml:space="preserve"> amount for eligible children under 12 years and up to 2 years of age for a maximum period of thirty (30) calendar days, on the understanding that no housing allowance is paid for the same period.</w:t>
      </w:r>
    </w:p>
    <w:p w:rsidR="00956289" w:rsidRDefault="00672879">
      <w:pPr>
        <w:pStyle w:val="BodyText"/>
        <w:spacing w:after="0"/>
        <w:ind w:left="1260"/>
        <w:jc w:val="both"/>
      </w:pPr>
      <w:r>
        <w:t>Rule 23.6(a):</w:t>
      </w:r>
    </w:p>
    <w:p w:rsidR="00956289" w:rsidRDefault="00672879">
      <w:pPr>
        <w:pStyle w:val="BodyText"/>
        <w:spacing w:after="260"/>
        <w:ind w:left="1260" w:firstLine="20"/>
        <w:jc w:val="both"/>
      </w:pPr>
      <w:r>
        <w:rPr>
          <w:i/>
          <w:iCs/>
        </w:rPr>
        <w:t>A staff member shall, upon transfer to anothe</w:t>
      </w:r>
      <w:r>
        <w:rPr>
          <w:i/>
          <w:iCs/>
        </w:rPr>
        <w:t>r duty station, be entitled to an allowance equivalent in sum to the installation allowance for himself or herself fifty percent (50%&gt;) of that amount for eligible spouse; fifty percent (50%&gt;) of that amount for eligible children 12 years and above; and tw</w:t>
      </w:r>
      <w:r>
        <w:rPr>
          <w:i/>
          <w:iCs/>
        </w:rPr>
        <w:t>enty-five percent (25%&gt;) of that amount for eligible children under 12 years and up to 2 years of age for a maximum period of thirty (30) calendar days, on the clear understanding that no housing allowance shall be paid for the same period.</w:t>
      </w:r>
    </w:p>
    <w:p w:rsidR="00956289" w:rsidRDefault="00672879" w:rsidP="00672879">
      <w:pPr>
        <w:pStyle w:val="Heading10"/>
        <w:keepNext/>
        <w:keepLines/>
        <w:tabs>
          <w:tab w:val="left" w:pos="1278"/>
        </w:tabs>
        <w:spacing w:after="260" w:line="233" w:lineRule="auto"/>
        <w:ind w:left="1260" w:hanging="520"/>
        <w:jc w:val="both"/>
      </w:pPr>
      <w:bookmarkStart w:id="42" w:name="bookmark44"/>
      <w:bookmarkStart w:id="43" w:name="bookmark42"/>
      <w:bookmarkStart w:id="44" w:name="bookmark43"/>
      <w:bookmarkStart w:id="45" w:name="bookmark45"/>
      <w:bookmarkEnd w:id="42"/>
      <w:r>
        <w:t>C.</w:t>
      </w:r>
      <w:r>
        <w:tab/>
      </w:r>
      <w:r>
        <w:rPr>
          <w:u w:val="single"/>
        </w:rPr>
        <w:t>Rule 43.2 - Com</w:t>
      </w:r>
      <w:r>
        <w:rPr>
          <w:u w:val="single"/>
        </w:rPr>
        <w:t>pensation for Death, Injury, Illness or Disability attributable to Service</w:t>
      </w:r>
      <w:bookmarkEnd w:id="43"/>
      <w:bookmarkEnd w:id="44"/>
      <w:bookmarkEnd w:id="45"/>
    </w:p>
    <w:p w:rsidR="00956289" w:rsidRDefault="00672879">
      <w:pPr>
        <w:pStyle w:val="BodyText"/>
        <w:spacing w:after="260"/>
        <w:ind w:left="1260"/>
      </w:pPr>
      <w:r>
        <w:t>Amendment of Rule 43.2 (b) to read as follows:</w:t>
      </w:r>
    </w:p>
    <w:p w:rsidR="00956289" w:rsidRDefault="00672879">
      <w:pPr>
        <w:pStyle w:val="BodyText"/>
        <w:spacing w:after="560"/>
        <w:ind w:left="1260" w:firstLine="20"/>
        <w:jc w:val="both"/>
      </w:pPr>
      <w:r>
        <w:t xml:space="preserve">(b) In the event of death or permanent disability of a regular or continuing regular staff member, an immediate humanitarian grant of </w:t>
      </w:r>
      <w:r>
        <w:t>12- month basic salary plus post adjustment of the staff member shall be made available to the beneficiaries. This benefit will also be made available to beneficiaries of fixed-term and short-term staff members.</w:t>
      </w:r>
    </w:p>
    <w:p w:rsidR="00956289" w:rsidRDefault="00672879" w:rsidP="00672879">
      <w:pPr>
        <w:pStyle w:val="BodyText"/>
        <w:tabs>
          <w:tab w:val="left" w:pos="571"/>
        </w:tabs>
        <w:spacing w:after="260" w:line="233" w:lineRule="auto"/>
        <w:ind w:left="560" w:hanging="560"/>
        <w:jc w:val="both"/>
      </w:pPr>
      <w:bookmarkStart w:id="46" w:name="bookmark46"/>
      <w:bookmarkEnd w:id="46"/>
      <w:r>
        <w:rPr>
          <w:b/>
          <w:bCs/>
        </w:rPr>
        <w:t>4.</w:t>
      </w:r>
      <w:r>
        <w:rPr>
          <w:b/>
          <w:bCs/>
        </w:rPr>
        <w:tab/>
      </w:r>
      <w:r>
        <w:rPr>
          <w:b/>
          <w:bCs/>
        </w:rPr>
        <w:t xml:space="preserve">REQUESTS </w:t>
      </w:r>
      <w:r>
        <w:t xml:space="preserve">the Commission to provide </w:t>
      </w:r>
      <w:r>
        <w:t>detailed information on the process of transferring the Pension Fund from ALICO to another company;</w:t>
      </w:r>
    </w:p>
    <w:p w:rsidR="00956289" w:rsidRDefault="00672879" w:rsidP="00672879">
      <w:pPr>
        <w:pStyle w:val="BodyText"/>
        <w:tabs>
          <w:tab w:val="left" w:pos="571"/>
        </w:tabs>
        <w:spacing w:after="260"/>
        <w:ind w:left="560" w:hanging="560"/>
        <w:jc w:val="both"/>
      </w:pPr>
      <w:bookmarkStart w:id="47" w:name="bookmark47"/>
      <w:bookmarkEnd w:id="47"/>
      <w:r>
        <w:rPr>
          <w:b/>
          <w:bCs/>
        </w:rPr>
        <w:t>5.</w:t>
      </w:r>
      <w:r>
        <w:rPr>
          <w:b/>
          <w:bCs/>
        </w:rPr>
        <w:tab/>
      </w:r>
      <w:r>
        <w:rPr>
          <w:b/>
          <w:bCs/>
        </w:rPr>
        <w:t xml:space="preserve">ALSO REQUESTS </w:t>
      </w:r>
      <w:r>
        <w:t>the Commission to implement an effective performance management system, Career Development and Progression Plan with the view to enhance staff</w:t>
      </w:r>
      <w:r>
        <w:t xml:space="preserve"> retention as well as provision of quality service delivery;</w:t>
      </w:r>
    </w:p>
    <w:p w:rsidR="00956289" w:rsidRDefault="00672879" w:rsidP="00672879">
      <w:pPr>
        <w:pStyle w:val="BodyText"/>
        <w:tabs>
          <w:tab w:val="left" w:pos="571"/>
        </w:tabs>
        <w:spacing w:after="260"/>
        <w:ind w:left="560" w:hanging="560"/>
        <w:jc w:val="both"/>
      </w:pPr>
      <w:bookmarkStart w:id="48" w:name="bookmark48"/>
      <w:bookmarkEnd w:id="48"/>
      <w:r>
        <w:rPr>
          <w:b/>
          <w:bCs/>
        </w:rPr>
        <w:t>6.</w:t>
      </w:r>
      <w:r>
        <w:rPr>
          <w:b/>
          <w:bCs/>
        </w:rPr>
        <w:tab/>
      </w:r>
      <w:r>
        <w:rPr>
          <w:b/>
          <w:bCs/>
        </w:rPr>
        <w:t xml:space="preserve">FURTHER REQUESTS </w:t>
      </w:r>
      <w:r>
        <w:t>the Commission to implement a performance management policy for staff assessment in accordance with international standards and best practices as applied in other international o</w:t>
      </w:r>
      <w:r>
        <w:t>r multilateral organizations</w:t>
      </w:r>
    </w:p>
    <w:p w:rsidR="00956289" w:rsidRDefault="00672879">
      <w:pPr>
        <w:pStyle w:val="BodyText"/>
        <w:spacing w:after="0"/>
        <w:ind w:left="880"/>
        <w:jc w:val="both"/>
        <w:sectPr w:rsidR="00956289">
          <w:pgSz w:w="12240" w:h="16834"/>
          <w:pgMar w:top="1583" w:right="916" w:bottom="1446" w:left="1220" w:header="0" w:footer="3" w:gutter="0"/>
          <w:cols w:space="720"/>
          <w:noEndnote/>
          <w:docGrid w:linePitch="360"/>
        </w:sectPr>
      </w:pPr>
      <w:r>
        <w:rPr>
          <w:b/>
          <w:bCs/>
        </w:rPr>
        <w:t xml:space="preserve">EXPECTS </w:t>
      </w:r>
      <w:r>
        <w:t xml:space="preserve">the staff of the Union to improve significantly their commitments towards the Union and the Continent, specially their service deliveries and </w:t>
      </w:r>
      <w:r>
        <w:rPr>
          <w:b/>
          <w:bCs/>
        </w:rPr>
        <w:t xml:space="preserve">REQUESTS </w:t>
      </w:r>
      <w:r>
        <w:t>the Commission to put in place an effective manag</w:t>
      </w:r>
      <w:r>
        <w:t>ement of staff members with the view to ensure that good staff are rewarded and those who do not deliver to the agreed standard are separated appropriately.</w:t>
      </w:r>
    </w:p>
    <w:tbl>
      <w:tblPr>
        <w:tblOverlap w:val="never"/>
        <w:tblW w:w="0" w:type="auto"/>
        <w:jc w:val="center"/>
        <w:tblLayout w:type="fixed"/>
        <w:tblCellMar>
          <w:left w:w="10" w:type="dxa"/>
          <w:right w:w="10" w:type="dxa"/>
        </w:tblCellMar>
        <w:tblLook w:val="04A0" w:firstRow="1" w:lastRow="0" w:firstColumn="1" w:lastColumn="0" w:noHBand="0" w:noVBand="1"/>
      </w:tblPr>
      <w:tblGrid>
        <w:gridCol w:w="5678"/>
        <w:gridCol w:w="5"/>
        <w:gridCol w:w="1416"/>
        <w:gridCol w:w="1426"/>
        <w:gridCol w:w="1589"/>
      </w:tblGrid>
      <w:tr w:rsidR="00956289">
        <w:tblPrEx>
          <w:tblCellMar>
            <w:top w:w="0" w:type="dxa"/>
            <w:bottom w:w="0" w:type="dxa"/>
          </w:tblCellMar>
        </w:tblPrEx>
        <w:trPr>
          <w:trHeight w:hRule="exact" w:val="878"/>
          <w:jc w:val="center"/>
        </w:trPr>
        <w:tc>
          <w:tcPr>
            <w:tcW w:w="5683" w:type="dxa"/>
            <w:gridSpan w:val="2"/>
            <w:tcBorders>
              <w:left w:val="single" w:sz="4" w:space="0" w:color="auto"/>
            </w:tcBorders>
            <w:shd w:val="clear" w:color="auto" w:fill="FFFFFF"/>
            <w:vAlign w:val="bottom"/>
          </w:tcPr>
          <w:p w:rsidR="00956289" w:rsidRDefault="00672879">
            <w:pPr>
              <w:pStyle w:val="Other0"/>
              <w:spacing w:after="0"/>
              <w:rPr>
                <w:sz w:val="19"/>
                <w:szCs w:val="19"/>
              </w:rPr>
            </w:pPr>
            <w:r>
              <w:rPr>
                <w:b/>
                <w:bCs/>
                <w:sz w:val="19"/>
                <w:szCs w:val="19"/>
                <w:u w:val="single"/>
              </w:rPr>
              <w:t>ADDIS ABABA</w:t>
            </w:r>
          </w:p>
          <w:p w:rsidR="00956289" w:rsidRDefault="00672879">
            <w:pPr>
              <w:pStyle w:val="Other0"/>
              <w:spacing w:after="0" w:line="206" w:lineRule="auto"/>
              <w:jc w:val="both"/>
              <w:rPr>
                <w:sz w:val="22"/>
                <w:szCs w:val="22"/>
              </w:rPr>
            </w:pPr>
            <w:r>
              <w:rPr>
                <w:rFonts w:ascii="Calibri" w:eastAsia="Calibri" w:hAnsi="Calibri" w:cs="Calibri"/>
                <w:sz w:val="22"/>
                <w:szCs w:val="22"/>
              </w:rPr>
              <w:t>Housing Allowance for International Professional</w:t>
            </w:r>
          </w:p>
          <w:p w:rsidR="00956289" w:rsidRDefault="00672879">
            <w:pPr>
              <w:pStyle w:val="Other0"/>
              <w:spacing w:after="0"/>
              <w:jc w:val="both"/>
              <w:rPr>
                <w:sz w:val="22"/>
                <w:szCs w:val="22"/>
              </w:rPr>
            </w:pPr>
            <w:r>
              <w:rPr>
                <w:rFonts w:ascii="Calibri" w:eastAsia="Calibri" w:hAnsi="Calibri" w:cs="Calibri"/>
                <w:sz w:val="22"/>
                <w:szCs w:val="22"/>
              </w:rPr>
              <w:t xml:space="preserve">Housing Allowance for National </w:t>
            </w:r>
            <w:r>
              <w:rPr>
                <w:rFonts w:ascii="Calibri" w:eastAsia="Calibri" w:hAnsi="Calibri" w:cs="Calibri"/>
                <w:sz w:val="22"/>
                <w:szCs w:val="22"/>
              </w:rPr>
              <w:t>Professional</w:t>
            </w:r>
          </w:p>
        </w:tc>
        <w:tc>
          <w:tcPr>
            <w:tcW w:w="1416" w:type="dxa"/>
            <w:tcBorders>
              <w:left w:val="single" w:sz="4" w:space="0" w:color="auto"/>
            </w:tcBorders>
            <w:shd w:val="clear" w:color="auto" w:fill="FFFFFF"/>
            <w:vAlign w:val="bottom"/>
          </w:tcPr>
          <w:p w:rsidR="00956289" w:rsidRDefault="00672879">
            <w:pPr>
              <w:pStyle w:val="Other0"/>
              <w:spacing w:after="0" w:line="228" w:lineRule="auto"/>
              <w:jc w:val="center"/>
              <w:rPr>
                <w:sz w:val="22"/>
                <w:szCs w:val="22"/>
              </w:rPr>
            </w:pPr>
            <w:r>
              <w:rPr>
                <w:rFonts w:ascii="Calibri" w:eastAsia="Calibri" w:hAnsi="Calibri" w:cs="Calibri"/>
                <w:sz w:val="22"/>
                <w:szCs w:val="22"/>
              </w:rPr>
              <w:t>D1-P4 2,184.00 40%</w:t>
            </w:r>
          </w:p>
        </w:tc>
        <w:tc>
          <w:tcPr>
            <w:tcW w:w="1416" w:type="dxa"/>
            <w:tcBorders>
              <w:left w:val="single" w:sz="4" w:space="0" w:color="auto"/>
            </w:tcBorders>
            <w:shd w:val="clear" w:color="auto" w:fill="FFFFFF"/>
            <w:vAlign w:val="bottom"/>
          </w:tcPr>
          <w:p w:rsidR="00956289" w:rsidRDefault="00672879">
            <w:pPr>
              <w:pStyle w:val="Other0"/>
              <w:spacing w:after="0"/>
              <w:ind w:firstLine="420"/>
              <w:jc w:val="both"/>
              <w:rPr>
                <w:sz w:val="22"/>
                <w:szCs w:val="22"/>
              </w:rPr>
            </w:pPr>
            <w:r>
              <w:rPr>
                <w:rFonts w:ascii="Calibri" w:eastAsia="Calibri" w:hAnsi="Calibri" w:cs="Calibri"/>
                <w:sz w:val="22"/>
                <w:szCs w:val="22"/>
              </w:rPr>
              <w:t>P3-P1</w:t>
            </w:r>
          </w:p>
          <w:p w:rsidR="00956289" w:rsidRDefault="00672879">
            <w:pPr>
              <w:pStyle w:val="Other0"/>
              <w:spacing w:after="0" w:line="202" w:lineRule="auto"/>
              <w:ind w:firstLine="300"/>
              <w:jc w:val="both"/>
              <w:rPr>
                <w:sz w:val="22"/>
                <w:szCs w:val="22"/>
              </w:rPr>
            </w:pPr>
            <w:r>
              <w:rPr>
                <w:rFonts w:ascii="Calibri" w:eastAsia="Calibri" w:hAnsi="Calibri" w:cs="Calibri"/>
                <w:sz w:val="22"/>
                <w:szCs w:val="22"/>
              </w:rPr>
              <w:t>1,911.00</w:t>
            </w:r>
          </w:p>
          <w:p w:rsidR="00956289" w:rsidRDefault="00672879">
            <w:pPr>
              <w:pStyle w:val="Other0"/>
              <w:spacing w:after="0"/>
              <w:jc w:val="center"/>
              <w:rPr>
                <w:sz w:val="22"/>
                <w:szCs w:val="22"/>
              </w:rPr>
            </w:pPr>
            <w:r>
              <w:rPr>
                <w:rFonts w:ascii="Calibri" w:eastAsia="Calibri" w:hAnsi="Calibri" w:cs="Calibri"/>
                <w:sz w:val="22"/>
                <w:szCs w:val="22"/>
              </w:rPr>
              <w:t>30%</w:t>
            </w:r>
          </w:p>
        </w:tc>
        <w:tc>
          <w:tcPr>
            <w:tcW w:w="1589" w:type="dxa"/>
            <w:tcBorders>
              <w:left w:val="single" w:sz="4" w:space="0" w:color="auto"/>
            </w:tcBorders>
            <w:shd w:val="clear" w:color="auto" w:fill="FFFFFF"/>
          </w:tcPr>
          <w:p w:rsidR="00956289" w:rsidRDefault="00956289">
            <w:pPr>
              <w:rPr>
                <w:sz w:val="10"/>
                <w:szCs w:val="10"/>
              </w:rPr>
            </w:pPr>
          </w:p>
        </w:tc>
      </w:tr>
      <w:tr w:rsidR="00956289">
        <w:tblPrEx>
          <w:tblCellMar>
            <w:top w:w="0" w:type="dxa"/>
            <w:bottom w:w="0" w:type="dxa"/>
          </w:tblCellMar>
        </w:tblPrEx>
        <w:trPr>
          <w:trHeight w:hRule="exact" w:val="696"/>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line="252" w:lineRule="auto"/>
              <w:rPr>
                <w:sz w:val="19"/>
                <w:szCs w:val="19"/>
              </w:rPr>
            </w:pPr>
            <w:r>
              <w:rPr>
                <w:b/>
                <w:bCs/>
                <w:sz w:val="19"/>
                <w:szCs w:val="19"/>
              </w:rPr>
              <w:t>ALGIERS &amp; LAAYOUNE</w:t>
            </w:r>
          </w:p>
          <w:p w:rsidR="00956289" w:rsidRDefault="00672879">
            <w:pPr>
              <w:pStyle w:val="Other0"/>
              <w:spacing w:after="0" w:line="204" w:lineRule="auto"/>
              <w:jc w:val="both"/>
              <w:rPr>
                <w:sz w:val="22"/>
                <w:szCs w:val="22"/>
              </w:rPr>
            </w:pPr>
            <w:r>
              <w:rPr>
                <w:rFonts w:ascii="Calibri" w:eastAsia="Calibri" w:hAnsi="Calibri" w:cs="Calibri"/>
                <w:sz w:val="22"/>
                <w:szCs w:val="22"/>
              </w:rPr>
              <w:t>Housing Allowance for International Professional Housing Allowance for National 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D1-P4</w:t>
            </w:r>
          </w:p>
          <w:p w:rsidR="00956289" w:rsidRDefault="00672879">
            <w:pPr>
              <w:pStyle w:val="Other0"/>
              <w:spacing w:after="0" w:line="204" w:lineRule="auto"/>
              <w:jc w:val="center"/>
              <w:rPr>
                <w:sz w:val="22"/>
                <w:szCs w:val="22"/>
              </w:rPr>
            </w:pPr>
            <w:r>
              <w:rPr>
                <w:rFonts w:ascii="Calibri" w:eastAsia="Calibri" w:hAnsi="Calibri" w:cs="Calibri"/>
                <w:sz w:val="22"/>
                <w:szCs w:val="22"/>
              </w:rPr>
              <w:t>1,962.00 40%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P3-P1</w:t>
            </w:r>
          </w:p>
          <w:p w:rsidR="00956289" w:rsidRDefault="00672879">
            <w:pPr>
              <w:pStyle w:val="Other0"/>
              <w:spacing w:after="0" w:line="204" w:lineRule="auto"/>
              <w:jc w:val="center"/>
              <w:rPr>
                <w:sz w:val="22"/>
                <w:szCs w:val="22"/>
              </w:rPr>
            </w:pPr>
            <w:r>
              <w:rPr>
                <w:rFonts w:ascii="Calibri" w:eastAsia="Calibri" w:hAnsi="Calibri" w:cs="Calibri"/>
                <w:sz w:val="22"/>
                <w:szCs w:val="22"/>
              </w:rPr>
              <w:t>1,545.60 40%</w:t>
            </w:r>
          </w:p>
        </w:tc>
        <w:tc>
          <w:tcPr>
            <w:tcW w:w="1589" w:type="dxa"/>
            <w:tcBorders>
              <w:left w:val="single" w:sz="4" w:space="0" w:color="auto"/>
            </w:tcBorders>
            <w:shd w:val="clear" w:color="auto" w:fill="FFFFFF"/>
          </w:tcPr>
          <w:p w:rsidR="00956289" w:rsidRDefault="00956289">
            <w:pPr>
              <w:rPr>
                <w:sz w:val="10"/>
                <w:szCs w:val="10"/>
              </w:rPr>
            </w:pPr>
          </w:p>
        </w:tc>
      </w:tr>
      <w:tr w:rsidR="00956289">
        <w:tblPrEx>
          <w:tblCellMar>
            <w:top w:w="0" w:type="dxa"/>
            <w:bottom w:w="0" w:type="dxa"/>
          </w:tblCellMar>
        </w:tblPrEx>
        <w:trPr>
          <w:trHeight w:hRule="exact" w:val="864"/>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jc w:val="both"/>
              <w:rPr>
                <w:sz w:val="19"/>
                <w:szCs w:val="19"/>
              </w:rPr>
            </w:pPr>
            <w:r>
              <w:rPr>
                <w:b/>
                <w:bCs/>
                <w:sz w:val="19"/>
                <w:szCs w:val="19"/>
              </w:rPr>
              <w:t>BANJUL</w:t>
            </w:r>
          </w:p>
          <w:p w:rsidR="00956289" w:rsidRDefault="00672879">
            <w:pPr>
              <w:pStyle w:val="Other0"/>
              <w:spacing w:after="0"/>
              <w:jc w:val="both"/>
              <w:rPr>
                <w:sz w:val="22"/>
                <w:szCs w:val="22"/>
              </w:rPr>
            </w:pPr>
            <w:r>
              <w:rPr>
                <w:rFonts w:ascii="Calibri" w:eastAsia="Calibri" w:hAnsi="Calibri" w:cs="Calibri"/>
                <w:sz w:val="22"/>
                <w:szCs w:val="22"/>
              </w:rPr>
              <w:t xml:space="preserve">Housing Allowance for </w:t>
            </w:r>
            <w:r>
              <w:rPr>
                <w:rFonts w:ascii="Calibri" w:eastAsia="Calibri" w:hAnsi="Calibri" w:cs="Calibri"/>
                <w:sz w:val="22"/>
                <w:szCs w:val="22"/>
              </w:rPr>
              <w:t>International Professional</w:t>
            </w:r>
          </w:p>
          <w:p w:rsidR="00956289" w:rsidRDefault="00672879">
            <w:pPr>
              <w:pStyle w:val="Other0"/>
              <w:spacing w:after="0"/>
              <w:jc w:val="both"/>
              <w:rPr>
                <w:sz w:val="22"/>
                <w:szCs w:val="22"/>
              </w:rPr>
            </w:pPr>
            <w:r>
              <w:rPr>
                <w:rFonts w:ascii="Calibri" w:eastAsia="Calibri" w:hAnsi="Calibri" w:cs="Calibri"/>
                <w:sz w:val="22"/>
                <w:szCs w:val="22"/>
              </w:rPr>
              <w:t>Housing Allowance for National 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jc w:val="center"/>
              <w:rPr>
                <w:sz w:val="22"/>
                <w:szCs w:val="22"/>
              </w:rPr>
            </w:pPr>
            <w:r>
              <w:rPr>
                <w:rFonts w:ascii="Calibri" w:eastAsia="Calibri" w:hAnsi="Calibri" w:cs="Calibri"/>
                <w:sz w:val="22"/>
                <w:szCs w:val="22"/>
              </w:rPr>
              <w:t>D1-P4</w:t>
            </w:r>
          </w:p>
          <w:p w:rsidR="00956289" w:rsidRDefault="00672879">
            <w:pPr>
              <w:pStyle w:val="Other0"/>
              <w:spacing w:after="0"/>
              <w:jc w:val="center"/>
              <w:rPr>
                <w:sz w:val="22"/>
                <w:szCs w:val="22"/>
              </w:rPr>
            </w:pPr>
            <w:r>
              <w:rPr>
                <w:rFonts w:ascii="Calibri" w:eastAsia="Calibri" w:hAnsi="Calibri" w:cs="Calibri"/>
                <w:sz w:val="22"/>
                <w:szCs w:val="22"/>
              </w:rPr>
              <w:t>1,459.50</w:t>
            </w:r>
          </w:p>
          <w:p w:rsidR="00956289" w:rsidRDefault="00672879">
            <w:pPr>
              <w:pStyle w:val="Other0"/>
              <w:spacing w:after="0"/>
              <w:jc w:val="center"/>
              <w:rPr>
                <w:sz w:val="22"/>
                <w:szCs w:val="22"/>
              </w:rPr>
            </w:pPr>
            <w:r>
              <w:rPr>
                <w:rFonts w:ascii="Calibri" w:eastAsia="Calibri" w:hAnsi="Calibri" w:cs="Calibri"/>
                <w:sz w:val="22"/>
                <w:szCs w:val="22"/>
              </w:rPr>
              <w:t>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ind w:firstLine="420"/>
              <w:jc w:val="both"/>
              <w:rPr>
                <w:sz w:val="22"/>
                <w:szCs w:val="22"/>
              </w:rPr>
            </w:pPr>
            <w:r>
              <w:rPr>
                <w:rFonts w:ascii="Calibri" w:eastAsia="Calibri" w:hAnsi="Calibri" w:cs="Calibri"/>
                <w:sz w:val="22"/>
                <w:szCs w:val="22"/>
              </w:rPr>
              <w:t>P3-P1</w:t>
            </w:r>
          </w:p>
          <w:p w:rsidR="00956289" w:rsidRDefault="00672879">
            <w:pPr>
              <w:pStyle w:val="Other0"/>
              <w:spacing w:after="0"/>
              <w:ind w:firstLine="300"/>
              <w:jc w:val="both"/>
              <w:rPr>
                <w:sz w:val="22"/>
                <w:szCs w:val="22"/>
              </w:rPr>
            </w:pPr>
            <w:r>
              <w:rPr>
                <w:rFonts w:ascii="Calibri" w:eastAsia="Calibri" w:hAnsi="Calibri" w:cs="Calibri"/>
                <w:sz w:val="22"/>
                <w:szCs w:val="22"/>
              </w:rPr>
              <w:t>1,324.80</w:t>
            </w:r>
          </w:p>
          <w:p w:rsidR="00956289" w:rsidRDefault="00672879">
            <w:pPr>
              <w:pStyle w:val="Other0"/>
              <w:spacing w:after="0"/>
              <w:jc w:val="center"/>
              <w:rPr>
                <w:sz w:val="22"/>
                <w:szCs w:val="22"/>
              </w:rPr>
            </w:pPr>
            <w:r>
              <w:rPr>
                <w:rFonts w:ascii="Calibri" w:eastAsia="Calibri" w:hAnsi="Calibri" w:cs="Calibri"/>
                <w:sz w:val="22"/>
                <w:szCs w:val="22"/>
              </w:rPr>
              <w:t>30%</w:t>
            </w:r>
          </w:p>
        </w:tc>
        <w:tc>
          <w:tcPr>
            <w:tcW w:w="1589" w:type="dxa"/>
            <w:tcBorders>
              <w:left w:val="single" w:sz="4" w:space="0" w:color="auto"/>
            </w:tcBorders>
            <w:shd w:val="clear" w:color="auto" w:fill="FFFFFF"/>
          </w:tcPr>
          <w:p w:rsidR="00956289" w:rsidRDefault="00956289">
            <w:pPr>
              <w:rPr>
                <w:sz w:val="10"/>
                <w:szCs w:val="10"/>
              </w:rPr>
            </w:pPr>
          </w:p>
        </w:tc>
      </w:tr>
      <w:tr w:rsidR="00956289">
        <w:tblPrEx>
          <w:tblCellMar>
            <w:top w:w="0" w:type="dxa"/>
            <w:bottom w:w="0" w:type="dxa"/>
          </w:tblCellMar>
        </w:tblPrEx>
        <w:trPr>
          <w:trHeight w:hRule="exact" w:val="701"/>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jc w:val="both"/>
              <w:rPr>
                <w:sz w:val="19"/>
                <w:szCs w:val="19"/>
              </w:rPr>
            </w:pPr>
            <w:r>
              <w:rPr>
                <w:b/>
                <w:bCs/>
                <w:sz w:val="19"/>
                <w:szCs w:val="19"/>
              </w:rPr>
              <w:t>BRUSSELS</w:t>
            </w:r>
          </w:p>
          <w:p w:rsidR="00956289" w:rsidRDefault="00672879">
            <w:pPr>
              <w:pStyle w:val="Other0"/>
              <w:spacing w:after="0" w:line="197" w:lineRule="auto"/>
              <w:jc w:val="both"/>
              <w:rPr>
                <w:sz w:val="22"/>
                <w:szCs w:val="22"/>
              </w:rPr>
            </w:pPr>
            <w:r>
              <w:rPr>
                <w:rFonts w:ascii="Calibri" w:eastAsia="Calibri" w:hAnsi="Calibri" w:cs="Calibri"/>
                <w:sz w:val="22"/>
                <w:szCs w:val="22"/>
              </w:rPr>
              <w:t>Housing Allowance for International Professional</w:t>
            </w:r>
          </w:p>
          <w:p w:rsidR="00956289" w:rsidRDefault="00672879">
            <w:pPr>
              <w:pStyle w:val="Other0"/>
              <w:spacing w:after="0" w:line="202" w:lineRule="auto"/>
              <w:jc w:val="both"/>
              <w:rPr>
                <w:sz w:val="22"/>
                <w:szCs w:val="22"/>
              </w:rPr>
            </w:pPr>
            <w:r>
              <w:rPr>
                <w:rFonts w:ascii="Calibri" w:eastAsia="Calibri" w:hAnsi="Calibri" w:cs="Calibri"/>
                <w:sz w:val="22"/>
                <w:szCs w:val="22"/>
              </w:rPr>
              <w:t>Housing Allowance for Local 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D1-P5 2,484.00 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P4</w:t>
            </w:r>
          </w:p>
          <w:p w:rsidR="00956289" w:rsidRDefault="00672879">
            <w:pPr>
              <w:pStyle w:val="Other0"/>
              <w:spacing w:after="0" w:line="204" w:lineRule="auto"/>
              <w:jc w:val="center"/>
              <w:rPr>
                <w:sz w:val="22"/>
                <w:szCs w:val="22"/>
              </w:rPr>
            </w:pPr>
            <w:r>
              <w:rPr>
                <w:rFonts w:ascii="Calibri" w:eastAsia="Calibri" w:hAnsi="Calibri" w:cs="Calibri"/>
                <w:sz w:val="22"/>
                <w:szCs w:val="22"/>
              </w:rPr>
              <w:t>2,173.50 40%</w:t>
            </w:r>
          </w:p>
        </w:tc>
        <w:tc>
          <w:tcPr>
            <w:tcW w:w="1589" w:type="dxa"/>
            <w:tcBorders>
              <w:top w:val="single" w:sz="4" w:space="0" w:color="auto"/>
              <w:left w:val="single" w:sz="4" w:space="0" w:color="auto"/>
              <w:right w:val="single" w:sz="4" w:space="0" w:color="auto"/>
            </w:tcBorders>
            <w:shd w:val="clear" w:color="auto" w:fill="FFFFFF"/>
            <w:vAlign w:val="bottom"/>
          </w:tcPr>
          <w:p w:rsidR="00956289" w:rsidRDefault="00672879">
            <w:pPr>
              <w:pStyle w:val="Other0"/>
              <w:spacing w:after="0" w:line="204" w:lineRule="auto"/>
              <w:ind w:firstLine="500"/>
              <w:rPr>
                <w:sz w:val="22"/>
                <w:szCs w:val="22"/>
              </w:rPr>
            </w:pPr>
            <w:r>
              <w:rPr>
                <w:rFonts w:ascii="Calibri" w:eastAsia="Calibri" w:hAnsi="Calibri" w:cs="Calibri"/>
                <w:sz w:val="22"/>
                <w:szCs w:val="22"/>
              </w:rPr>
              <w:t>P3-P1</w:t>
            </w:r>
          </w:p>
          <w:p w:rsidR="00956289" w:rsidRDefault="00672879">
            <w:pPr>
              <w:pStyle w:val="Other0"/>
              <w:spacing w:after="0" w:line="204" w:lineRule="auto"/>
              <w:jc w:val="center"/>
              <w:rPr>
                <w:sz w:val="22"/>
                <w:szCs w:val="22"/>
              </w:rPr>
            </w:pPr>
            <w:r>
              <w:rPr>
                <w:rFonts w:ascii="Calibri" w:eastAsia="Calibri" w:hAnsi="Calibri" w:cs="Calibri"/>
                <w:sz w:val="22"/>
                <w:szCs w:val="22"/>
              </w:rPr>
              <w:t>1,932.00 30%</w:t>
            </w:r>
          </w:p>
        </w:tc>
      </w:tr>
      <w:tr w:rsidR="00956289">
        <w:tblPrEx>
          <w:tblCellMar>
            <w:top w:w="0" w:type="dxa"/>
            <w:bottom w:w="0" w:type="dxa"/>
          </w:tblCellMar>
        </w:tblPrEx>
        <w:trPr>
          <w:trHeight w:hRule="exact" w:val="701"/>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line="252" w:lineRule="auto"/>
              <w:jc w:val="both"/>
              <w:rPr>
                <w:sz w:val="19"/>
                <w:szCs w:val="19"/>
              </w:rPr>
            </w:pPr>
            <w:r>
              <w:rPr>
                <w:b/>
                <w:bCs/>
                <w:sz w:val="19"/>
                <w:szCs w:val="19"/>
              </w:rPr>
              <w:t>CAIRO &amp; TRIPOLI</w:t>
            </w:r>
          </w:p>
          <w:p w:rsidR="00956289" w:rsidRDefault="00672879">
            <w:pPr>
              <w:pStyle w:val="Other0"/>
              <w:spacing w:after="0" w:line="204" w:lineRule="auto"/>
              <w:jc w:val="both"/>
              <w:rPr>
                <w:sz w:val="22"/>
                <w:szCs w:val="22"/>
              </w:rPr>
            </w:pPr>
            <w:r>
              <w:rPr>
                <w:rFonts w:ascii="Calibri" w:eastAsia="Calibri" w:hAnsi="Calibri" w:cs="Calibri"/>
                <w:sz w:val="22"/>
                <w:szCs w:val="22"/>
              </w:rPr>
              <w:t>Housing Allowance for International Professional Housing Allowance for National 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6" w:lineRule="auto"/>
              <w:jc w:val="center"/>
              <w:rPr>
                <w:sz w:val="22"/>
                <w:szCs w:val="22"/>
              </w:rPr>
            </w:pPr>
            <w:r>
              <w:rPr>
                <w:rFonts w:ascii="Calibri" w:eastAsia="Calibri" w:hAnsi="Calibri" w:cs="Calibri"/>
                <w:sz w:val="22"/>
                <w:szCs w:val="22"/>
              </w:rPr>
              <w:t>D1-P4</w:t>
            </w:r>
          </w:p>
          <w:p w:rsidR="00956289" w:rsidRDefault="00672879">
            <w:pPr>
              <w:pStyle w:val="Other0"/>
              <w:spacing w:after="0" w:line="206" w:lineRule="auto"/>
              <w:jc w:val="center"/>
              <w:rPr>
                <w:sz w:val="22"/>
                <w:szCs w:val="22"/>
              </w:rPr>
            </w:pPr>
            <w:r>
              <w:rPr>
                <w:rFonts w:ascii="Calibri" w:eastAsia="Calibri" w:hAnsi="Calibri" w:cs="Calibri"/>
                <w:sz w:val="22"/>
                <w:szCs w:val="22"/>
              </w:rPr>
              <w:t>1,819.39 40%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P3</w:t>
            </w:r>
          </w:p>
          <w:p w:rsidR="00956289" w:rsidRDefault="00672879">
            <w:pPr>
              <w:pStyle w:val="Other0"/>
              <w:spacing w:after="0" w:line="204" w:lineRule="auto"/>
              <w:jc w:val="center"/>
              <w:rPr>
                <w:sz w:val="22"/>
                <w:szCs w:val="22"/>
              </w:rPr>
            </w:pPr>
            <w:r>
              <w:rPr>
                <w:rFonts w:ascii="Calibri" w:eastAsia="Calibri" w:hAnsi="Calibri" w:cs="Calibri"/>
                <w:sz w:val="22"/>
                <w:szCs w:val="22"/>
              </w:rPr>
              <w:t>1,591.97 30%</w:t>
            </w:r>
          </w:p>
        </w:tc>
        <w:tc>
          <w:tcPr>
            <w:tcW w:w="1589" w:type="dxa"/>
            <w:tcBorders>
              <w:top w:val="single" w:sz="4" w:space="0" w:color="auto"/>
              <w:left w:val="single" w:sz="4" w:space="0" w:color="auto"/>
              <w:right w:val="single" w:sz="4" w:space="0" w:color="auto"/>
            </w:tcBorders>
            <w:shd w:val="clear" w:color="auto" w:fill="FFFFFF"/>
          </w:tcPr>
          <w:p w:rsidR="00956289" w:rsidRDefault="00956289">
            <w:pPr>
              <w:rPr>
                <w:sz w:val="10"/>
                <w:szCs w:val="10"/>
              </w:rPr>
            </w:pPr>
          </w:p>
        </w:tc>
      </w:tr>
      <w:tr w:rsidR="00956289">
        <w:tblPrEx>
          <w:tblCellMar>
            <w:top w:w="0" w:type="dxa"/>
            <w:bottom w:w="0" w:type="dxa"/>
          </w:tblCellMar>
        </w:tblPrEx>
        <w:trPr>
          <w:trHeight w:hRule="exact" w:val="701"/>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rPr>
                <w:sz w:val="19"/>
                <w:szCs w:val="19"/>
              </w:rPr>
            </w:pPr>
            <w:r>
              <w:rPr>
                <w:b/>
                <w:bCs/>
                <w:sz w:val="19"/>
                <w:szCs w:val="19"/>
              </w:rPr>
              <w:t>CONAKRY, MONROVIA &amp; DAKAR</w:t>
            </w:r>
          </w:p>
          <w:p w:rsidR="00956289" w:rsidRDefault="00672879">
            <w:pPr>
              <w:pStyle w:val="Other0"/>
              <w:spacing w:after="0" w:line="202" w:lineRule="auto"/>
              <w:rPr>
                <w:sz w:val="22"/>
                <w:szCs w:val="22"/>
              </w:rPr>
            </w:pPr>
            <w:r>
              <w:rPr>
                <w:rFonts w:ascii="Calibri" w:eastAsia="Calibri" w:hAnsi="Calibri" w:cs="Calibri"/>
                <w:sz w:val="22"/>
                <w:szCs w:val="22"/>
              </w:rPr>
              <w:t>Housing Allowance for International Professional</w:t>
            </w:r>
          </w:p>
          <w:p w:rsidR="00956289" w:rsidRDefault="00672879">
            <w:pPr>
              <w:pStyle w:val="Other0"/>
              <w:spacing w:after="0" w:line="202" w:lineRule="auto"/>
              <w:rPr>
                <w:sz w:val="22"/>
                <w:szCs w:val="22"/>
              </w:rPr>
            </w:pPr>
            <w:r>
              <w:rPr>
                <w:rFonts w:ascii="Calibri" w:eastAsia="Calibri" w:hAnsi="Calibri" w:cs="Calibri"/>
                <w:sz w:val="22"/>
                <w:szCs w:val="22"/>
              </w:rPr>
              <w:t xml:space="preserve">Housing </w:t>
            </w:r>
            <w:r>
              <w:rPr>
                <w:rFonts w:ascii="Calibri" w:eastAsia="Calibri" w:hAnsi="Calibri" w:cs="Calibri"/>
                <w:sz w:val="22"/>
                <w:szCs w:val="22"/>
              </w:rPr>
              <w:t>Allowance for National 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D1-P4</w:t>
            </w:r>
          </w:p>
          <w:p w:rsidR="00956289" w:rsidRDefault="00672879">
            <w:pPr>
              <w:pStyle w:val="Other0"/>
              <w:spacing w:after="0" w:line="204" w:lineRule="auto"/>
              <w:jc w:val="center"/>
              <w:rPr>
                <w:sz w:val="22"/>
                <w:szCs w:val="22"/>
              </w:rPr>
            </w:pPr>
            <w:r>
              <w:rPr>
                <w:rFonts w:ascii="Calibri" w:eastAsia="Calibri" w:hAnsi="Calibri" w:cs="Calibri"/>
                <w:sz w:val="22"/>
                <w:szCs w:val="22"/>
              </w:rPr>
              <w:t>1,806.00 40%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jc w:val="center"/>
              <w:rPr>
                <w:sz w:val="22"/>
                <w:szCs w:val="22"/>
              </w:rPr>
            </w:pPr>
            <w:r>
              <w:rPr>
                <w:rFonts w:ascii="Calibri" w:eastAsia="Calibri" w:hAnsi="Calibri" w:cs="Calibri"/>
                <w:sz w:val="22"/>
                <w:szCs w:val="22"/>
              </w:rPr>
              <w:t>P3-P1</w:t>
            </w:r>
          </w:p>
          <w:p w:rsidR="00956289" w:rsidRDefault="00672879">
            <w:pPr>
              <w:pStyle w:val="Other0"/>
              <w:spacing w:after="0" w:line="202" w:lineRule="auto"/>
              <w:ind w:firstLine="300"/>
              <w:jc w:val="both"/>
              <w:rPr>
                <w:sz w:val="22"/>
                <w:szCs w:val="22"/>
              </w:rPr>
            </w:pPr>
            <w:r>
              <w:rPr>
                <w:rFonts w:ascii="Calibri" w:eastAsia="Calibri" w:hAnsi="Calibri" w:cs="Calibri"/>
                <w:sz w:val="22"/>
                <w:szCs w:val="22"/>
              </w:rPr>
              <w:t>1,580.25</w:t>
            </w:r>
          </w:p>
          <w:p w:rsidR="00956289" w:rsidRDefault="00672879">
            <w:pPr>
              <w:pStyle w:val="Other0"/>
              <w:spacing w:after="0" w:line="202" w:lineRule="auto"/>
              <w:jc w:val="center"/>
              <w:rPr>
                <w:sz w:val="22"/>
                <w:szCs w:val="22"/>
              </w:rPr>
            </w:pPr>
            <w:r>
              <w:rPr>
                <w:rFonts w:ascii="Calibri" w:eastAsia="Calibri" w:hAnsi="Calibri" w:cs="Calibri"/>
                <w:sz w:val="22"/>
                <w:szCs w:val="22"/>
              </w:rPr>
              <w:t>30%</w:t>
            </w:r>
          </w:p>
        </w:tc>
        <w:tc>
          <w:tcPr>
            <w:tcW w:w="1589" w:type="dxa"/>
            <w:tcBorders>
              <w:left w:val="single" w:sz="4" w:space="0" w:color="auto"/>
              <w:right w:val="single" w:sz="4" w:space="0" w:color="auto"/>
            </w:tcBorders>
            <w:shd w:val="clear" w:color="auto" w:fill="FFFFFF"/>
          </w:tcPr>
          <w:p w:rsidR="00956289" w:rsidRDefault="00956289">
            <w:pPr>
              <w:rPr>
                <w:sz w:val="10"/>
                <w:szCs w:val="10"/>
              </w:rPr>
            </w:pPr>
          </w:p>
        </w:tc>
      </w:tr>
      <w:tr w:rsidR="00956289">
        <w:tblPrEx>
          <w:tblCellMar>
            <w:top w:w="0" w:type="dxa"/>
            <w:bottom w:w="0" w:type="dxa"/>
          </w:tblCellMar>
        </w:tblPrEx>
        <w:trPr>
          <w:trHeight w:hRule="exact" w:val="706"/>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line="252" w:lineRule="auto"/>
              <w:rPr>
                <w:sz w:val="19"/>
                <w:szCs w:val="19"/>
              </w:rPr>
            </w:pPr>
            <w:r>
              <w:rPr>
                <w:b/>
                <w:bCs/>
                <w:sz w:val="19"/>
                <w:szCs w:val="19"/>
              </w:rPr>
              <w:t>GENEVA</w:t>
            </w:r>
          </w:p>
          <w:p w:rsidR="00956289" w:rsidRDefault="00672879">
            <w:pPr>
              <w:pStyle w:val="Other0"/>
              <w:spacing w:after="0" w:line="204" w:lineRule="auto"/>
              <w:jc w:val="both"/>
              <w:rPr>
                <w:sz w:val="22"/>
                <w:szCs w:val="22"/>
              </w:rPr>
            </w:pPr>
            <w:r>
              <w:rPr>
                <w:rFonts w:ascii="Calibri" w:eastAsia="Calibri" w:hAnsi="Calibri" w:cs="Calibri"/>
                <w:sz w:val="22"/>
                <w:szCs w:val="22"/>
              </w:rPr>
              <w:t>Housing Allowance for International Professional Housing Allowance for Local 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6" w:lineRule="auto"/>
              <w:jc w:val="center"/>
              <w:rPr>
                <w:sz w:val="22"/>
                <w:szCs w:val="22"/>
              </w:rPr>
            </w:pPr>
            <w:r>
              <w:rPr>
                <w:rFonts w:ascii="Calibri" w:eastAsia="Calibri" w:hAnsi="Calibri" w:cs="Calibri"/>
                <w:sz w:val="22"/>
                <w:szCs w:val="22"/>
              </w:rPr>
              <w:t>D1-P5</w:t>
            </w:r>
          </w:p>
          <w:p w:rsidR="00956289" w:rsidRDefault="00672879">
            <w:pPr>
              <w:pStyle w:val="Other0"/>
              <w:spacing w:after="0" w:line="206" w:lineRule="auto"/>
              <w:jc w:val="center"/>
              <w:rPr>
                <w:sz w:val="22"/>
                <w:szCs w:val="22"/>
              </w:rPr>
            </w:pPr>
            <w:r>
              <w:rPr>
                <w:rFonts w:ascii="Calibri" w:eastAsia="Calibri" w:hAnsi="Calibri" w:cs="Calibri"/>
                <w:sz w:val="22"/>
                <w:szCs w:val="22"/>
              </w:rPr>
              <w:t>3,701.25 40%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P4</w:t>
            </w:r>
          </w:p>
          <w:p w:rsidR="00956289" w:rsidRDefault="00672879">
            <w:pPr>
              <w:pStyle w:val="Other0"/>
              <w:spacing w:after="0" w:line="204" w:lineRule="auto"/>
              <w:jc w:val="center"/>
              <w:rPr>
                <w:sz w:val="22"/>
                <w:szCs w:val="22"/>
              </w:rPr>
            </w:pPr>
            <w:r>
              <w:rPr>
                <w:rFonts w:ascii="Calibri" w:eastAsia="Calibri" w:hAnsi="Calibri" w:cs="Calibri"/>
                <w:sz w:val="22"/>
                <w:szCs w:val="22"/>
              </w:rPr>
              <w:t>2,870.40 40%</w:t>
            </w:r>
          </w:p>
        </w:tc>
        <w:tc>
          <w:tcPr>
            <w:tcW w:w="1589" w:type="dxa"/>
            <w:tcBorders>
              <w:top w:val="single" w:sz="4" w:space="0" w:color="auto"/>
              <w:left w:val="single" w:sz="4" w:space="0" w:color="auto"/>
              <w:right w:val="single" w:sz="4" w:space="0" w:color="auto"/>
            </w:tcBorders>
            <w:shd w:val="clear" w:color="auto" w:fill="FFFFFF"/>
            <w:vAlign w:val="bottom"/>
          </w:tcPr>
          <w:p w:rsidR="00956289" w:rsidRDefault="00672879">
            <w:pPr>
              <w:pStyle w:val="Other0"/>
              <w:spacing w:after="0" w:line="206" w:lineRule="auto"/>
              <w:ind w:firstLine="500"/>
              <w:rPr>
                <w:sz w:val="22"/>
                <w:szCs w:val="22"/>
              </w:rPr>
            </w:pPr>
            <w:r>
              <w:rPr>
                <w:rFonts w:ascii="Calibri" w:eastAsia="Calibri" w:hAnsi="Calibri" w:cs="Calibri"/>
                <w:sz w:val="22"/>
                <w:szCs w:val="22"/>
              </w:rPr>
              <w:t>P3-P1</w:t>
            </w:r>
          </w:p>
          <w:p w:rsidR="00956289" w:rsidRDefault="00672879">
            <w:pPr>
              <w:pStyle w:val="Other0"/>
              <w:spacing w:after="0" w:line="206" w:lineRule="auto"/>
              <w:jc w:val="center"/>
              <w:rPr>
                <w:sz w:val="22"/>
                <w:szCs w:val="22"/>
              </w:rPr>
            </w:pPr>
            <w:r>
              <w:rPr>
                <w:rFonts w:ascii="Calibri" w:eastAsia="Calibri" w:hAnsi="Calibri" w:cs="Calibri"/>
                <w:sz w:val="22"/>
                <w:szCs w:val="22"/>
              </w:rPr>
              <w:t>2,583.60 30%</w:t>
            </w:r>
          </w:p>
        </w:tc>
      </w:tr>
      <w:tr w:rsidR="00956289">
        <w:tblPrEx>
          <w:tblCellMar>
            <w:top w:w="0" w:type="dxa"/>
            <w:bottom w:w="0" w:type="dxa"/>
          </w:tblCellMar>
        </w:tblPrEx>
        <w:trPr>
          <w:trHeight w:hRule="exact" w:val="696"/>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line="252" w:lineRule="auto"/>
              <w:jc w:val="both"/>
              <w:rPr>
                <w:sz w:val="19"/>
                <w:szCs w:val="19"/>
              </w:rPr>
            </w:pPr>
            <w:r>
              <w:rPr>
                <w:b/>
                <w:bCs/>
                <w:sz w:val="19"/>
                <w:szCs w:val="19"/>
              </w:rPr>
              <w:t>LILONGWE</w:t>
            </w:r>
          </w:p>
          <w:p w:rsidR="00956289" w:rsidRDefault="00672879">
            <w:pPr>
              <w:pStyle w:val="Other0"/>
              <w:spacing w:after="0" w:line="204" w:lineRule="auto"/>
              <w:jc w:val="both"/>
              <w:rPr>
                <w:sz w:val="22"/>
                <w:szCs w:val="22"/>
              </w:rPr>
            </w:pPr>
            <w:r>
              <w:rPr>
                <w:rFonts w:ascii="Calibri" w:eastAsia="Calibri" w:hAnsi="Calibri" w:cs="Calibri"/>
                <w:sz w:val="22"/>
                <w:szCs w:val="22"/>
              </w:rPr>
              <w:t xml:space="preserve">Housing </w:t>
            </w:r>
            <w:r>
              <w:rPr>
                <w:rFonts w:ascii="Calibri" w:eastAsia="Calibri" w:hAnsi="Calibri" w:cs="Calibri"/>
                <w:sz w:val="22"/>
                <w:szCs w:val="22"/>
              </w:rPr>
              <w:t>Allowance for International Professional Housing Allowance for National 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D1-P4</w:t>
            </w:r>
          </w:p>
          <w:p w:rsidR="00956289" w:rsidRDefault="00672879">
            <w:pPr>
              <w:pStyle w:val="Other0"/>
              <w:spacing w:after="0" w:line="204" w:lineRule="auto"/>
              <w:jc w:val="center"/>
              <w:rPr>
                <w:sz w:val="22"/>
                <w:szCs w:val="22"/>
              </w:rPr>
            </w:pPr>
            <w:r>
              <w:rPr>
                <w:rFonts w:ascii="Calibri" w:eastAsia="Calibri" w:hAnsi="Calibri" w:cs="Calibri"/>
                <w:sz w:val="22"/>
                <w:szCs w:val="22"/>
              </w:rPr>
              <w:t>1,685.25 40%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jc w:val="center"/>
              <w:rPr>
                <w:sz w:val="22"/>
                <w:szCs w:val="22"/>
              </w:rPr>
            </w:pPr>
            <w:r>
              <w:rPr>
                <w:rFonts w:ascii="Calibri" w:eastAsia="Calibri" w:hAnsi="Calibri" w:cs="Calibri"/>
                <w:sz w:val="22"/>
                <w:szCs w:val="22"/>
              </w:rPr>
              <w:t>P3-P1</w:t>
            </w:r>
          </w:p>
          <w:p w:rsidR="00956289" w:rsidRDefault="00672879">
            <w:pPr>
              <w:pStyle w:val="Other0"/>
              <w:spacing w:after="0" w:line="197" w:lineRule="auto"/>
              <w:ind w:firstLine="300"/>
              <w:jc w:val="both"/>
              <w:rPr>
                <w:sz w:val="22"/>
                <w:szCs w:val="22"/>
              </w:rPr>
            </w:pPr>
            <w:r>
              <w:rPr>
                <w:rFonts w:ascii="Calibri" w:eastAsia="Calibri" w:hAnsi="Calibri" w:cs="Calibri"/>
                <w:sz w:val="22"/>
                <w:szCs w:val="22"/>
              </w:rPr>
              <w:t>1,401.65</w:t>
            </w:r>
          </w:p>
          <w:p w:rsidR="00956289" w:rsidRDefault="00672879">
            <w:pPr>
              <w:pStyle w:val="Other0"/>
              <w:spacing w:after="0" w:line="206" w:lineRule="auto"/>
              <w:jc w:val="center"/>
              <w:rPr>
                <w:sz w:val="22"/>
                <w:szCs w:val="22"/>
              </w:rPr>
            </w:pPr>
            <w:r>
              <w:rPr>
                <w:rFonts w:ascii="Calibri" w:eastAsia="Calibri" w:hAnsi="Calibri" w:cs="Calibri"/>
                <w:sz w:val="22"/>
                <w:szCs w:val="22"/>
              </w:rPr>
              <w:t>30%</w:t>
            </w:r>
          </w:p>
        </w:tc>
        <w:tc>
          <w:tcPr>
            <w:tcW w:w="1589" w:type="dxa"/>
            <w:tcBorders>
              <w:top w:val="single" w:sz="4" w:space="0" w:color="auto"/>
              <w:left w:val="single" w:sz="4" w:space="0" w:color="auto"/>
              <w:right w:val="single" w:sz="4" w:space="0" w:color="auto"/>
            </w:tcBorders>
            <w:shd w:val="clear" w:color="auto" w:fill="FFFFFF"/>
          </w:tcPr>
          <w:p w:rsidR="00956289" w:rsidRDefault="00956289">
            <w:pPr>
              <w:rPr>
                <w:sz w:val="10"/>
                <w:szCs w:val="10"/>
              </w:rPr>
            </w:pPr>
          </w:p>
        </w:tc>
      </w:tr>
      <w:tr w:rsidR="00956289">
        <w:tblPrEx>
          <w:tblCellMar>
            <w:top w:w="0" w:type="dxa"/>
            <w:bottom w:w="0" w:type="dxa"/>
          </w:tblCellMar>
        </w:tblPrEx>
        <w:trPr>
          <w:trHeight w:hRule="exact" w:val="701"/>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jc w:val="both"/>
              <w:rPr>
                <w:sz w:val="19"/>
                <w:szCs w:val="19"/>
              </w:rPr>
            </w:pPr>
            <w:r>
              <w:rPr>
                <w:b/>
                <w:bCs/>
                <w:sz w:val="19"/>
                <w:szCs w:val="19"/>
              </w:rPr>
              <w:t>ABUJA &amp; JOHANNESBURG (PAP, NPCA)</w:t>
            </w:r>
          </w:p>
          <w:p w:rsidR="00956289" w:rsidRDefault="00672879">
            <w:pPr>
              <w:pStyle w:val="Other0"/>
              <w:spacing w:after="0" w:line="206" w:lineRule="auto"/>
              <w:jc w:val="both"/>
              <w:rPr>
                <w:sz w:val="22"/>
                <w:szCs w:val="22"/>
              </w:rPr>
            </w:pPr>
            <w:r>
              <w:rPr>
                <w:rFonts w:ascii="Calibri" w:eastAsia="Calibri" w:hAnsi="Calibri" w:cs="Calibri"/>
                <w:sz w:val="22"/>
                <w:szCs w:val="22"/>
              </w:rPr>
              <w:t>Housing Allowance for International Professional</w:t>
            </w:r>
          </w:p>
          <w:p w:rsidR="00956289" w:rsidRDefault="00672879">
            <w:pPr>
              <w:pStyle w:val="Other0"/>
              <w:spacing w:after="0" w:line="197" w:lineRule="auto"/>
              <w:jc w:val="both"/>
              <w:rPr>
                <w:sz w:val="22"/>
                <w:szCs w:val="22"/>
              </w:rPr>
            </w:pPr>
            <w:r>
              <w:rPr>
                <w:rFonts w:ascii="Calibri" w:eastAsia="Calibri" w:hAnsi="Calibri" w:cs="Calibri"/>
                <w:sz w:val="22"/>
                <w:szCs w:val="22"/>
              </w:rPr>
              <w:t xml:space="preserve">Housing Allowance for National </w:t>
            </w:r>
            <w:r>
              <w:rPr>
                <w:rFonts w:ascii="Calibri" w:eastAsia="Calibri" w:hAnsi="Calibri" w:cs="Calibri"/>
                <w:sz w:val="22"/>
                <w:szCs w:val="22"/>
              </w:rPr>
              <w:t>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D1-P5</w:t>
            </w:r>
          </w:p>
          <w:p w:rsidR="00956289" w:rsidRDefault="00672879">
            <w:pPr>
              <w:pStyle w:val="Other0"/>
              <w:spacing w:after="0" w:line="204" w:lineRule="auto"/>
              <w:jc w:val="center"/>
              <w:rPr>
                <w:sz w:val="22"/>
                <w:szCs w:val="22"/>
              </w:rPr>
            </w:pPr>
            <w:r>
              <w:rPr>
                <w:rFonts w:ascii="Calibri" w:eastAsia="Calibri" w:hAnsi="Calibri" w:cs="Calibri"/>
                <w:sz w:val="22"/>
                <w:szCs w:val="22"/>
              </w:rPr>
              <w:t>2,274.24 40%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199" w:lineRule="auto"/>
              <w:jc w:val="center"/>
              <w:rPr>
                <w:sz w:val="22"/>
                <w:szCs w:val="22"/>
              </w:rPr>
            </w:pPr>
            <w:r>
              <w:rPr>
                <w:rFonts w:ascii="Calibri" w:eastAsia="Calibri" w:hAnsi="Calibri" w:cs="Calibri"/>
                <w:sz w:val="22"/>
                <w:szCs w:val="22"/>
              </w:rPr>
              <w:t>P4</w:t>
            </w:r>
          </w:p>
          <w:p w:rsidR="00956289" w:rsidRDefault="00672879">
            <w:pPr>
              <w:pStyle w:val="Other0"/>
              <w:spacing w:after="0" w:line="199" w:lineRule="auto"/>
              <w:jc w:val="center"/>
              <w:rPr>
                <w:sz w:val="22"/>
                <w:szCs w:val="22"/>
              </w:rPr>
            </w:pPr>
            <w:r>
              <w:rPr>
                <w:rFonts w:ascii="Calibri" w:eastAsia="Calibri" w:hAnsi="Calibri" w:cs="Calibri"/>
                <w:sz w:val="22"/>
                <w:szCs w:val="22"/>
              </w:rPr>
              <w:t>2,046.82 40%</w:t>
            </w:r>
          </w:p>
        </w:tc>
        <w:tc>
          <w:tcPr>
            <w:tcW w:w="1589" w:type="dxa"/>
            <w:tcBorders>
              <w:top w:val="single" w:sz="4" w:space="0" w:color="auto"/>
              <w:left w:val="single" w:sz="4" w:space="0" w:color="auto"/>
              <w:right w:val="single" w:sz="4" w:space="0" w:color="auto"/>
            </w:tcBorders>
            <w:shd w:val="clear" w:color="auto" w:fill="FFFFFF"/>
            <w:vAlign w:val="bottom"/>
          </w:tcPr>
          <w:p w:rsidR="00956289" w:rsidRDefault="00672879">
            <w:pPr>
              <w:pStyle w:val="Other0"/>
              <w:spacing w:after="0" w:line="199" w:lineRule="auto"/>
              <w:ind w:firstLine="500"/>
              <w:rPr>
                <w:sz w:val="22"/>
                <w:szCs w:val="22"/>
              </w:rPr>
            </w:pPr>
            <w:r>
              <w:rPr>
                <w:rFonts w:ascii="Calibri" w:eastAsia="Calibri" w:hAnsi="Calibri" w:cs="Calibri"/>
                <w:sz w:val="22"/>
                <w:szCs w:val="22"/>
              </w:rPr>
              <w:t>P3-P1</w:t>
            </w:r>
          </w:p>
          <w:p w:rsidR="00956289" w:rsidRDefault="00672879">
            <w:pPr>
              <w:pStyle w:val="Other0"/>
              <w:spacing w:after="0" w:line="199" w:lineRule="auto"/>
              <w:jc w:val="center"/>
              <w:rPr>
                <w:sz w:val="22"/>
                <w:szCs w:val="22"/>
              </w:rPr>
            </w:pPr>
            <w:r>
              <w:rPr>
                <w:rFonts w:ascii="Calibri" w:eastAsia="Calibri" w:hAnsi="Calibri" w:cs="Calibri"/>
                <w:sz w:val="22"/>
                <w:szCs w:val="22"/>
              </w:rPr>
              <w:t>1,819.39 30%</w:t>
            </w:r>
          </w:p>
        </w:tc>
      </w:tr>
      <w:tr w:rsidR="00956289">
        <w:tblPrEx>
          <w:tblCellMar>
            <w:top w:w="0" w:type="dxa"/>
            <w:bottom w:w="0" w:type="dxa"/>
          </w:tblCellMar>
        </w:tblPrEx>
        <w:trPr>
          <w:trHeight w:hRule="exact" w:val="701"/>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jc w:val="both"/>
              <w:rPr>
                <w:sz w:val="19"/>
                <w:szCs w:val="19"/>
              </w:rPr>
            </w:pPr>
            <w:r>
              <w:rPr>
                <w:b/>
                <w:bCs/>
                <w:sz w:val="19"/>
                <w:szCs w:val="19"/>
              </w:rPr>
              <w:t>NAIROBI</w:t>
            </w:r>
          </w:p>
          <w:p w:rsidR="00956289" w:rsidRDefault="00672879">
            <w:pPr>
              <w:pStyle w:val="Other0"/>
              <w:spacing w:after="0" w:line="202" w:lineRule="auto"/>
              <w:jc w:val="both"/>
              <w:rPr>
                <w:sz w:val="22"/>
                <w:szCs w:val="22"/>
              </w:rPr>
            </w:pPr>
            <w:r>
              <w:rPr>
                <w:rFonts w:ascii="Calibri" w:eastAsia="Calibri" w:hAnsi="Calibri" w:cs="Calibri"/>
                <w:sz w:val="22"/>
                <w:szCs w:val="22"/>
              </w:rPr>
              <w:t>Housing Allowance for International Professional</w:t>
            </w:r>
          </w:p>
          <w:p w:rsidR="00956289" w:rsidRDefault="00672879">
            <w:pPr>
              <w:pStyle w:val="Other0"/>
              <w:spacing w:after="0" w:line="202" w:lineRule="auto"/>
              <w:jc w:val="both"/>
              <w:rPr>
                <w:sz w:val="22"/>
                <w:szCs w:val="22"/>
              </w:rPr>
            </w:pPr>
            <w:r>
              <w:rPr>
                <w:rFonts w:ascii="Calibri" w:eastAsia="Calibri" w:hAnsi="Calibri" w:cs="Calibri"/>
                <w:sz w:val="22"/>
                <w:szCs w:val="22"/>
              </w:rPr>
              <w:t>Housing Allowance for National 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D1-P4</w:t>
            </w:r>
          </w:p>
          <w:p w:rsidR="00956289" w:rsidRDefault="00672879">
            <w:pPr>
              <w:pStyle w:val="Other0"/>
              <w:spacing w:after="0" w:line="204" w:lineRule="auto"/>
              <w:jc w:val="center"/>
              <w:rPr>
                <w:sz w:val="22"/>
                <w:szCs w:val="22"/>
              </w:rPr>
            </w:pPr>
            <w:r>
              <w:rPr>
                <w:rFonts w:ascii="Calibri" w:eastAsia="Calibri" w:hAnsi="Calibri" w:cs="Calibri"/>
                <w:sz w:val="22"/>
                <w:szCs w:val="22"/>
              </w:rPr>
              <w:t>1,770.00 40%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ind w:firstLine="420"/>
              <w:jc w:val="both"/>
              <w:rPr>
                <w:sz w:val="22"/>
                <w:szCs w:val="22"/>
              </w:rPr>
            </w:pPr>
            <w:r>
              <w:rPr>
                <w:rFonts w:ascii="Calibri" w:eastAsia="Calibri" w:hAnsi="Calibri" w:cs="Calibri"/>
                <w:sz w:val="22"/>
                <w:szCs w:val="22"/>
              </w:rPr>
              <w:t>P3-P1</w:t>
            </w:r>
          </w:p>
          <w:p w:rsidR="00956289" w:rsidRDefault="00672879">
            <w:pPr>
              <w:pStyle w:val="Other0"/>
              <w:spacing w:after="0" w:line="202" w:lineRule="auto"/>
              <w:ind w:firstLine="300"/>
              <w:jc w:val="both"/>
              <w:rPr>
                <w:sz w:val="22"/>
                <w:szCs w:val="22"/>
              </w:rPr>
            </w:pPr>
            <w:r>
              <w:rPr>
                <w:rFonts w:ascii="Calibri" w:eastAsia="Calibri" w:hAnsi="Calibri" w:cs="Calibri"/>
                <w:sz w:val="22"/>
                <w:szCs w:val="22"/>
              </w:rPr>
              <w:t>1,548.75</w:t>
            </w:r>
          </w:p>
          <w:p w:rsidR="00956289" w:rsidRDefault="00672879">
            <w:pPr>
              <w:pStyle w:val="Other0"/>
              <w:spacing w:after="0" w:line="206" w:lineRule="auto"/>
              <w:jc w:val="center"/>
              <w:rPr>
                <w:sz w:val="22"/>
                <w:szCs w:val="22"/>
              </w:rPr>
            </w:pPr>
            <w:r>
              <w:rPr>
                <w:rFonts w:ascii="Calibri" w:eastAsia="Calibri" w:hAnsi="Calibri" w:cs="Calibri"/>
                <w:sz w:val="22"/>
                <w:szCs w:val="22"/>
              </w:rPr>
              <w:t>30%</w:t>
            </w:r>
          </w:p>
        </w:tc>
        <w:tc>
          <w:tcPr>
            <w:tcW w:w="1589" w:type="dxa"/>
            <w:tcBorders>
              <w:top w:val="single" w:sz="4" w:space="0" w:color="auto"/>
              <w:left w:val="single" w:sz="4" w:space="0" w:color="auto"/>
              <w:right w:val="single" w:sz="4" w:space="0" w:color="auto"/>
            </w:tcBorders>
            <w:shd w:val="clear" w:color="auto" w:fill="FFFFFF"/>
          </w:tcPr>
          <w:p w:rsidR="00956289" w:rsidRDefault="00956289">
            <w:pPr>
              <w:rPr>
                <w:sz w:val="10"/>
                <w:szCs w:val="10"/>
              </w:rPr>
            </w:pPr>
          </w:p>
        </w:tc>
      </w:tr>
      <w:tr w:rsidR="00956289">
        <w:tblPrEx>
          <w:tblCellMar>
            <w:top w:w="0" w:type="dxa"/>
            <w:bottom w:w="0" w:type="dxa"/>
          </w:tblCellMar>
        </w:tblPrEx>
        <w:trPr>
          <w:trHeight w:hRule="exact" w:val="701"/>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line="252" w:lineRule="auto"/>
              <w:jc w:val="both"/>
              <w:rPr>
                <w:sz w:val="19"/>
                <w:szCs w:val="19"/>
              </w:rPr>
            </w:pPr>
            <w:r>
              <w:rPr>
                <w:b/>
                <w:bCs/>
                <w:sz w:val="19"/>
                <w:szCs w:val="19"/>
              </w:rPr>
              <w:t>BUJUMBURA, MORONI &amp; ARUSHA</w:t>
            </w:r>
          </w:p>
          <w:p w:rsidR="00956289" w:rsidRDefault="00672879">
            <w:pPr>
              <w:pStyle w:val="Other0"/>
              <w:spacing w:after="0" w:line="204" w:lineRule="auto"/>
              <w:jc w:val="both"/>
              <w:rPr>
                <w:sz w:val="22"/>
                <w:szCs w:val="22"/>
              </w:rPr>
            </w:pPr>
            <w:r>
              <w:rPr>
                <w:rFonts w:ascii="Calibri" w:eastAsia="Calibri" w:hAnsi="Calibri" w:cs="Calibri"/>
                <w:sz w:val="22"/>
                <w:szCs w:val="22"/>
              </w:rPr>
              <w:t xml:space="preserve">Housing </w:t>
            </w:r>
            <w:r>
              <w:rPr>
                <w:rFonts w:ascii="Calibri" w:eastAsia="Calibri" w:hAnsi="Calibri" w:cs="Calibri"/>
                <w:sz w:val="22"/>
                <w:szCs w:val="22"/>
              </w:rPr>
              <w:t>Allowance for International Professional Housing Allowance for National 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6" w:lineRule="auto"/>
              <w:jc w:val="center"/>
              <w:rPr>
                <w:sz w:val="22"/>
                <w:szCs w:val="22"/>
              </w:rPr>
            </w:pPr>
            <w:r>
              <w:rPr>
                <w:rFonts w:ascii="Calibri" w:eastAsia="Calibri" w:hAnsi="Calibri" w:cs="Calibri"/>
                <w:sz w:val="22"/>
                <w:szCs w:val="22"/>
              </w:rPr>
              <w:t>D1-P4</w:t>
            </w:r>
          </w:p>
          <w:p w:rsidR="00956289" w:rsidRDefault="00672879">
            <w:pPr>
              <w:pStyle w:val="Other0"/>
              <w:spacing w:after="0" w:line="206" w:lineRule="auto"/>
              <w:jc w:val="center"/>
              <w:rPr>
                <w:sz w:val="22"/>
                <w:szCs w:val="22"/>
              </w:rPr>
            </w:pPr>
            <w:r>
              <w:rPr>
                <w:rFonts w:ascii="Calibri" w:eastAsia="Calibri" w:hAnsi="Calibri" w:cs="Calibri"/>
                <w:sz w:val="22"/>
                <w:szCs w:val="22"/>
              </w:rPr>
              <w:t>1,860.00 40%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ind w:firstLine="420"/>
              <w:jc w:val="both"/>
              <w:rPr>
                <w:sz w:val="22"/>
                <w:szCs w:val="22"/>
              </w:rPr>
            </w:pPr>
            <w:r>
              <w:rPr>
                <w:rFonts w:ascii="Calibri" w:eastAsia="Calibri" w:hAnsi="Calibri" w:cs="Calibri"/>
                <w:sz w:val="22"/>
                <w:szCs w:val="22"/>
              </w:rPr>
              <w:t>P3-P1</w:t>
            </w:r>
          </w:p>
          <w:p w:rsidR="00956289" w:rsidRDefault="00672879">
            <w:pPr>
              <w:pStyle w:val="Other0"/>
              <w:spacing w:after="0" w:line="204" w:lineRule="auto"/>
              <w:jc w:val="center"/>
              <w:rPr>
                <w:sz w:val="22"/>
                <w:szCs w:val="22"/>
              </w:rPr>
            </w:pPr>
            <w:r>
              <w:rPr>
                <w:rFonts w:ascii="Calibri" w:eastAsia="Calibri" w:hAnsi="Calibri" w:cs="Calibri"/>
                <w:sz w:val="22"/>
                <w:szCs w:val="22"/>
              </w:rPr>
              <w:t>1,627.50 30%</w:t>
            </w:r>
          </w:p>
        </w:tc>
        <w:tc>
          <w:tcPr>
            <w:tcW w:w="1589" w:type="dxa"/>
            <w:tcBorders>
              <w:left w:val="single" w:sz="4" w:space="0" w:color="auto"/>
              <w:right w:val="single" w:sz="4" w:space="0" w:color="auto"/>
            </w:tcBorders>
            <w:shd w:val="clear" w:color="auto" w:fill="FFFFFF"/>
          </w:tcPr>
          <w:p w:rsidR="00956289" w:rsidRDefault="00956289">
            <w:pPr>
              <w:rPr>
                <w:sz w:val="10"/>
                <w:szCs w:val="10"/>
              </w:rPr>
            </w:pPr>
          </w:p>
        </w:tc>
      </w:tr>
      <w:tr w:rsidR="00956289">
        <w:tblPrEx>
          <w:tblCellMar>
            <w:top w:w="0" w:type="dxa"/>
            <w:bottom w:w="0" w:type="dxa"/>
          </w:tblCellMar>
        </w:tblPrEx>
        <w:trPr>
          <w:trHeight w:hRule="exact" w:val="701"/>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jc w:val="both"/>
              <w:rPr>
                <w:sz w:val="19"/>
                <w:szCs w:val="19"/>
              </w:rPr>
            </w:pPr>
            <w:r>
              <w:rPr>
                <w:b/>
                <w:bCs/>
                <w:sz w:val="19"/>
                <w:szCs w:val="19"/>
              </w:rPr>
              <w:t>NEW YORK</w:t>
            </w:r>
          </w:p>
          <w:p w:rsidR="00956289" w:rsidRDefault="00672879">
            <w:pPr>
              <w:pStyle w:val="Other0"/>
              <w:spacing w:after="0" w:line="202" w:lineRule="auto"/>
              <w:jc w:val="both"/>
              <w:rPr>
                <w:sz w:val="22"/>
                <w:szCs w:val="22"/>
              </w:rPr>
            </w:pPr>
            <w:r>
              <w:rPr>
                <w:rFonts w:ascii="Calibri" w:eastAsia="Calibri" w:hAnsi="Calibri" w:cs="Calibri"/>
                <w:sz w:val="22"/>
                <w:szCs w:val="22"/>
              </w:rPr>
              <w:t>Housing Allowance for International Professional</w:t>
            </w:r>
          </w:p>
          <w:p w:rsidR="00956289" w:rsidRDefault="00672879">
            <w:pPr>
              <w:pStyle w:val="Other0"/>
              <w:spacing w:after="0" w:line="202" w:lineRule="auto"/>
              <w:jc w:val="both"/>
              <w:rPr>
                <w:sz w:val="22"/>
                <w:szCs w:val="22"/>
              </w:rPr>
            </w:pPr>
            <w:r>
              <w:rPr>
                <w:rFonts w:ascii="Calibri" w:eastAsia="Calibri" w:hAnsi="Calibri" w:cs="Calibri"/>
                <w:sz w:val="22"/>
                <w:szCs w:val="22"/>
              </w:rPr>
              <w:t>Housing Allowance for Local 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D1-P5</w:t>
            </w:r>
          </w:p>
          <w:p w:rsidR="00956289" w:rsidRDefault="00672879">
            <w:pPr>
              <w:pStyle w:val="Other0"/>
              <w:spacing w:after="0" w:line="204" w:lineRule="auto"/>
              <w:jc w:val="center"/>
              <w:rPr>
                <w:sz w:val="22"/>
                <w:szCs w:val="22"/>
              </w:rPr>
            </w:pPr>
            <w:r>
              <w:rPr>
                <w:rFonts w:ascii="Calibri" w:eastAsia="Calibri" w:hAnsi="Calibri" w:cs="Calibri"/>
                <w:sz w:val="22"/>
                <w:szCs w:val="22"/>
              </w:rPr>
              <w:t>3,966.00 40%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6" w:lineRule="auto"/>
              <w:jc w:val="center"/>
              <w:rPr>
                <w:sz w:val="22"/>
                <w:szCs w:val="22"/>
              </w:rPr>
            </w:pPr>
            <w:r>
              <w:rPr>
                <w:rFonts w:ascii="Calibri" w:eastAsia="Calibri" w:hAnsi="Calibri" w:cs="Calibri"/>
                <w:sz w:val="22"/>
                <w:szCs w:val="22"/>
              </w:rPr>
              <w:t>P4</w:t>
            </w:r>
          </w:p>
          <w:p w:rsidR="00956289" w:rsidRDefault="00672879">
            <w:pPr>
              <w:pStyle w:val="Other0"/>
              <w:spacing w:after="0" w:line="206" w:lineRule="auto"/>
              <w:jc w:val="center"/>
              <w:rPr>
                <w:sz w:val="22"/>
                <w:szCs w:val="22"/>
              </w:rPr>
            </w:pPr>
            <w:r>
              <w:rPr>
                <w:rFonts w:ascii="Calibri" w:eastAsia="Calibri" w:hAnsi="Calibri" w:cs="Calibri"/>
                <w:sz w:val="22"/>
                <w:szCs w:val="22"/>
              </w:rPr>
              <w:t>3,470.25 40%</w:t>
            </w:r>
          </w:p>
        </w:tc>
        <w:tc>
          <w:tcPr>
            <w:tcW w:w="1589" w:type="dxa"/>
            <w:tcBorders>
              <w:top w:val="single" w:sz="4" w:space="0" w:color="auto"/>
              <w:left w:val="single" w:sz="4" w:space="0" w:color="auto"/>
              <w:right w:val="single" w:sz="4" w:space="0" w:color="auto"/>
            </w:tcBorders>
            <w:shd w:val="clear" w:color="auto" w:fill="FFFFFF"/>
            <w:vAlign w:val="bottom"/>
          </w:tcPr>
          <w:p w:rsidR="00956289" w:rsidRDefault="00672879">
            <w:pPr>
              <w:pStyle w:val="Other0"/>
              <w:spacing w:after="0" w:line="204" w:lineRule="auto"/>
              <w:ind w:firstLine="500"/>
              <w:rPr>
                <w:sz w:val="22"/>
                <w:szCs w:val="22"/>
              </w:rPr>
            </w:pPr>
            <w:r>
              <w:rPr>
                <w:rFonts w:ascii="Calibri" w:eastAsia="Calibri" w:hAnsi="Calibri" w:cs="Calibri"/>
                <w:sz w:val="22"/>
                <w:szCs w:val="22"/>
              </w:rPr>
              <w:t>P3-P1</w:t>
            </w:r>
          </w:p>
          <w:p w:rsidR="00956289" w:rsidRDefault="00672879">
            <w:pPr>
              <w:pStyle w:val="Other0"/>
              <w:spacing w:after="0" w:line="204" w:lineRule="auto"/>
              <w:jc w:val="center"/>
              <w:rPr>
                <w:sz w:val="22"/>
                <w:szCs w:val="22"/>
              </w:rPr>
            </w:pPr>
            <w:r>
              <w:rPr>
                <w:rFonts w:ascii="Calibri" w:eastAsia="Calibri" w:hAnsi="Calibri" w:cs="Calibri"/>
                <w:sz w:val="22"/>
                <w:szCs w:val="22"/>
              </w:rPr>
              <w:t>2,980.85 30%</w:t>
            </w:r>
          </w:p>
        </w:tc>
      </w:tr>
      <w:tr w:rsidR="00956289">
        <w:tblPrEx>
          <w:tblCellMar>
            <w:top w:w="0" w:type="dxa"/>
            <w:bottom w:w="0" w:type="dxa"/>
          </w:tblCellMar>
        </w:tblPrEx>
        <w:trPr>
          <w:trHeight w:hRule="exact" w:val="701"/>
          <w:jc w:val="center"/>
        </w:trPr>
        <w:tc>
          <w:tcPr>
            <w:tcW w:w="5683" w:type="dxa"/>
            <w:gridSpan w:val="2"/>
            <w:tcBorders>
              <w:top w:val="single" w:sz="4" w:space="0" w:color="auto"/>
              <w:left w:val="single" w:sz="4" w:space="0" w:color="auto"/>
            </w:tcBorders>
            <w:shd w:val="clear" w:color="auto" w:fill="FFFFFF"/>
            <w:vAlign w:val="bottom"/>
          </w:tcPr>
          <w:p w:rsidR="00956289" w:rsidRDefault="00672879">
            <w:pPr>
              <w:pStyle w:val="Other0"/>
              <w:spacing w:after="0"/>
              <w:rPr>
                <w:sz w:val="19"/>
                <w:szCs w:val="19"/>
              </w:rPr>
            </w:pPr>
            <w:r>
              <w:rPr>
                <w:b/>
                <w:bCs/>
                <w:sz w:val="19"/>
                <w:szCs w:val="19"/>
              </w:rPr>
              <w:t>WASHINGTON</w:t>
            </w:r>
          </w:p>
          <w:p w:rsidR="00956289" w:rsidRDefault="00672879">
            <w:pPr>
              <w:pStyle w:val="Other0"/>
              <w:spacing w:after="0" w:line="199" w:lineRule="auto"/>
              <w:jc w:val="both"/>
              <w:rPr>
                <w:sz w:val="22"/>
                <w:szCs w:val="22"/>
              </w:rPr>
            </w:pPr>
            <w:r>
              <w:rPr>
                <w:rFonts w:ascii="Calibri" w:eastAsia="Calibri" w:hAnsi="Calibri" w:cs="Calibri"/>
                <w:sz w:val="22"/>
                <w:szCs w:val="22"/>
              </w:rPr>
              <w:t>Housing Allowance for International Professional Housing Allowance for Local Professional</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6" w:lineRule="auto"/>
              <w:jc w:val="center"/>
              <w:rPr>
                <w:sz w:val="22"/>
                <w:szCs w:val="22"/>
              </w:rPr>
            </w:pPr>
            <w:r>
              <w:rPr>
                <w:rFonts w:ascii="Calibri" w:eastAsia="Calibri" w:hAnsi="Calibri" w:cs="Calibri"/>
                <w:sz w:val="22"/>
                <w:szCs w:val="22"/>
              </w:rPr>
              <w:t>D1-P5</w:t>
            </w:r>
          </w:p>
          <w:p w:rsidR="00956289" w:rsidRDefault="00672879">
            <w:pPr>
              <w:pStyle w:val="Other0"/>
              <w:spacing w:after="0" w:line="206" w:lineRule="auto"/>
              <w:jc w:val="center"/>
              <w:rPr>
                <w:sz w:val="22"/>
                <w:szCs w:val="22"/>
              </w:rPr>
            </w:pPr>
            <w:r>
              <w:rPr>
                <w:rFonts w:ascii="Calibri" w:eastAsia="Calibri" w:hAnsi="Calibri" w:cs="Calibri"/>
                <w:sz w:val="22"/>
                <w:szCs w:val="22"/>
              </w:rPr>
              <w:t>3,470.25 40%</w:t>
            </w:r>
          </w:p>
        </w:tc>
        <w:tc>
          <w:tcPr>
            <w:tcW w:w="1416" w:type="dxa"/>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P4</w:t>
            </w:r>
          </w:p>
          <w:p w:rsidR="00956289" w:rsidRDefault="00672879">
            <w:pPr>
              <w:pStyle w:val="Other0"/>
              <w:spacing w:after="0" w:line="204" w:lineRule="auto"/>
              <w:jc w:val="center"/>
              <w:rPr>
                <w:sz w:val="22"/>
                <w:szCs w:val="22"/>
              </w:rPr>
            </w:pPr>
            <w:r>
              <w:rPr>
                <w:rFonts w:ascii="Calibri" w:eastAsia="Calibri" w:hAnsi="Calibri" w:cs="Calibri"/>
                <w:sz w:val="22"/>
                <w:szCs w:val="22"/>
              </w:rPr>
              <w:t>3,312.00 40%</w:t>
            </w:r>
          </w:p>
        </w:tc>
        <w:tc>
          <w:tcPr>
            <w:tcW w:w="1589" w:type="dxa"/>
            <w:tcBorders>
              <w:top w:val="single" w:sz="4" w:space="0" w:color="auto"/>
              <w:left w:val="single" w:sz="4" w:space="0" w:color="auto"/>
              <w:right w:val="single" w:sz="4" w:space="0" w:color="auto"/>
            </w:tcBorders>
            <w:shd w:val="clear" w:color="auto" w:fill="FFFFFF"/>
            <w:vAlign w:val="bottom"/>
          </w:tcPr>
          <w:p w:rsidR="00956289" w:rsidRDefault="00672879">
            <w:pPr>
              <w:pStyle w:val="Other0"/>
              <w:spacing w:after="0" w:line="206" w:lineRule="auto"/>
              <w:ind w:firstLine="500"/>
              <w:rPr>
                <w:sz w:val="22"/>
                <w:szCs w:val="22"/>
              </w:rPr>
            </w:pPr>
            <w:r>
              <w:rPr>
                <w:rFonts w:ascii="Calibri" w:eastAsia="Calibri" w:hAnsi="Calibri" w:cs="Calibri"/>
                <w:sz w:val="22"/>
                <w:szCs w:val="22"/>
              </w:rPr>
              <w:t>P3-P1</w:t>
            </w:r>
          </w:p>
          <w:p w:rsidR="00956289" w:rsidRDefault="00672879">
            <w:pPr>
              <w:pStyle w:val="Other0"/>
              <w:spacing w:after="0" w:line="206" w:lineRule="auto"/>
              <w:jc w:val="center"/>
              <w:rPr>
                <w:sz w:val="22"/>
                <w:szCs w:val="22"/>
              </w:rPr>
            </w:pPr>
            <w:r>
              <w:rPr>
                <w:rFonts w:ascii="Calibri" w:eastAsia="Calibri" w:hAnsi="Calibri" w:cs="Calibri"/>
                <w:sz w:val="22"/>
                <w:szCs w:val="22"/>
              </w:rPr>
              <w:t>2,980.85 30%</w:t>
            </w:r>
          </w:p>
        </w:tc>
      </w:tr>
      <w:tr w:rsidR="00956289">
        <w:tblPrEx>
          <w:tblCellMar>
            <w:top w:w="0" w:type="dxa"/>
            <w:bottom w:w="0" w:type="dxa"/>
          </w:tblCellMar>
        </w:tblPrEx>
        <w:trPr>
          <w:trHeight w:hRule="exact" w:val="734"/>
          <w:jc w:val="center"/>
        </w:trPr>
        <w:tc>
          <w:tcPr>
            <w:tcW w:w="5683" w:type="dxa"/>
            <w:gridSpan w:val="2"/>
            <w:tcBorders>
              <w:top w:val="single" w:sz="4" w:space="0" w:color="auto"/>
              <w:left w:val="single" w:sz="4" w:space="0" w:color="auto"/>
              <w:bottom w:val="single" w:sz="4" w:space="0" w:color="auto"/>
            </w:tcBorders>
            <w:shd w:val="clear" w:color="auto" w:fill="FFFFFF"/>
          </w:tcPr>
          <w:p w:rsidR="00956289" w:rsidRDefault="00672879">
            <w:pPr>
              <w:pStyle w:val="Other0"/>
              <w:spacing w:after="0"/>
              <w:jc w:val="both"/>
              <w:rPr>
                <w:sz w:val="19"/>
                <w:szCs w:val="19"/>
              </w:rPr>
            </w:pPr>
            <w:r>
              <w:rPr>
                <w:b/>
                <w:bCs/>
                <w:sz w:val="19"/>
                <w:szCs w:val="19"/>
              </w:rPr>
              <w:t>BAMAKO</w:t>
            </w:r>
          </w:p>
          <w:p w:rsidR="00956289" w:rsidRDefault="00672879">
            <w:pPr>
              <w:pStyle w:val="Other0"/>
              <w:spacing w:after="0" w:line="199" w:lineRule="auto"/>
              <w:jc w:val="both"/>
              <w:rPr>
                <w:sz w:val="22"/>
                <w:szCs w:val="22"/>
              </w:rPr>
            </w:pPr>
            <w:r>
              <w:rPr>
                <w:rFonts w:ascii="Calibri" w:eastAsia="Calibri" w:hAnsi="Calibri" w:cs="Calibri"/>
                <w:sz w:val="22"/>
                <w:szCs w:val="22"/>
              </w:rPr>
              <w:t xml:space="preserve">Housing Allowance for International Professional </w:t>
            </w:r>
            <w:r>
              <w:rPr>
                <w:rFonts w:ascii="Calibri" w:eastAsia="Calibri" w:hAnsi="Calibri" w:cs="Calibri"/>
                <w:sz w:val="22"/>
                <w:szCs w:val="22"/>
              </w:rPr>
              <w:t>Housing Allowance for National Professional</w:t>
            </w:r>
          </w:p>
        </w:tc>
        <w:tc>
          <w:tcPr>
            <w:tcW w:w="1416" w:type="dxa"/>
            <w:tcBorders>
              <w:top w:val="single" w:sz="4" w:space="0" w:color="auto"/>
              <w:left w:val="single" w:sz="4" w:space="0" w:color="auto"/>
              <w:bottom w:val="single" w:sz="4" w:space="0" w:color="auto"/>
            </w:tcBorders>
            <w:shd w:val="clear" w:color="auto" w:fill="FFFFFF"/>
          </w:tcPr>
          <w:p w:rsidR="00956289" w:rsidRDefault="00672879">
            <w:pPr>
              <w:pStyle w:val="Other0"/>
              <w:spacing w:after="0" w:line="204" w:lineRule="auto"/>
              <w:jc w:val="center"/>
              <w:rPr>
                <w:sz w:val="22"/>
                <w:szCs w:val="22"/>
              </w:rPr>
            </w:pPr>
            <w:r>
              <w:rPr>
                <w:rFonts w:ascii="Calibri" w:eastAsia="Calibri" w:hAnsi="Calibri" w:cs="Calibri"/>
                <w:sz w:val="22"/>
                <w:szCs w:val="22"/>
              </w:rPr>
              <w:t>D1-P4</w:t>
            </w:r>
          </w:p>
          <w:p w:rsidR="00956289" w:rsidRDefault="00672879">
            <w:pPr>
              <w:pStyle w:val="Other0"/>
              <w:spacing w:after="0" w:line="204" w:lineRule="auto"/>
              <w:jc w:val="center"/>
              <w:rPr>
                <w:sz w:val="22"/>
                <w:szCs w:val="22"/>
              </w:rPr>
            </w:pPr>
            <w:r>
              <w:rPr>
                <w:rFonts w:ascii="Calibri" w:eastAsia="Calibri" w:hAnsi="Calibri" w:cs="Calibri"/>
                <w:sz w:val="22"/>
                <w:szCs w:val="22"/>
              </w:rPr>
              <w:t>1,914.00 40%</w:t>
            </w:r>
          </w:p>
        </w:tc>
        <w:tc>
          <w:tcPr>
            <w:tcW w:w="1416" w:type="dxa"/>
            <w:tcBorders>
              <w:top w:val="single" w:sz="4" w:space="0" w:color="auto"/>
              <w:left w:val="single" w:sz="4" w:space="0" w:color="auto"/>
              <w:bottom w:val="single" w:sz="4" w:space="0" w:color="auto"/>
            </w:tcBorders>
            <w:shd w:val="clear" w:color="auto" w:fill="FFFFFF"/>
          </w:tcPr>
          <w:p w:rsidR="00956289" w:rsidRDefault="00672879">
            <w:pPr>
              <w:pStyle w:val="Other0"/>
              <w:spacing w:after="0" w:line="206" w:lineRule="auto"/>
              <w:ind w:firstLine="420"/>
              <w:jc w:val="both"/>
              <w:rPr>
                <w:sz w:val="22"/>
                <w:szCs w:val="22"/>
              </w:rPr>
            </w:pPr>
            <w:r>
              <w:rPr>
                <w:rFonts w:ascii="Calibri" w:eastAsia="Calibri" w:hAnsi="Calibri" w:cs="Calibri"/>
                <w:sz w:val="22"/>
                <w:szCs w:val="22"/>
              </w:rPr>
              <w:t>P3-P1</w:t>
            </w:r>
          </w:p>
          <w:p w:rsidR="00956289" w:rsidRDefault="00672879">
            <w:pPr>
              <w:pStyle w:val="Other0"/>
              <w:spacing w:after="0" w:line="206" w:lineRule="auto"/>
              <w:jc w:val="center"/>
              <w:rPr>
                <w:sz w:val="22"/>
                <w:szCs w:val="22"/>
              </w:rPr>
            </w:pPr>
            <w:r>
              <w:rPr>
                <w:rFonts w:ascii="Calibri" w:eastAsia="Calibri" w:hAnsi="Calibri" w:cs="Calibri"/>
                <w:sz w:val="22"/>
                <w:szCs w:val="22"/>
              </w:rPr>
              <w:t>1,674.75 30%</w:t>
            </w:r>
          </w:p>
        </w:tc>
        <w:tc>
          <w:tcPr>
            <w:tcW w:w="1589" w:type="dxa"/>
            <w:tcBorders>
              <w:top w:val="single" w:sz="4" w:space="0" w:color="auto"/>
              <w:left w:val="single" w:sz="4" w:space="0" w:color="auto"/>
              <w:bottom w:val="single" w:sz="4" w:space="0" w:color="auto"/>
              <w:right w:val="single" w:sz="4" w:space="0" w:color="auto"/>
            </w:tcBorders>
            <w:shd w:val="clear" w:color="auto" w:fill="FFFFFF"/>
          </w:tcPr>
          <w:p w:rsidR="00956289" w:rsidRDefault="00956289">
            <w:pPr>
              <w:rPr>
                <w:sz w:val="10"/>
                <w:szCs w:val="10"/>
              </w:rPr>
            </w:pPr>
          </w:p>
        </w:tc>
      </w:tr>
      <w:tr w:rsidR="00956289">
        <w:tblPrEx>
          <w:tblCellMar>
            <w:top w:w="0" w:type="dxa"/>
            <w:bottom w:w="0" w:type="dxa"/>
          </w:tblCellMar>
        </w:tblPrEx>
        <w:trPr>
          <w:gridAfter w:val="1"/>
          <w:trHeight w:hRule="exact" w:val="226"/>
          <w:jc w:val="center"/>
        </w:trPr>
        <w:tc>
          <w:tcPr>
            <w:tcW w:w="8525" w:type="dxa"/>
            <w:gridSpan w:val="4"/>
            <w:shd w:val="clear" w:color="auto" w:fill="000000"/>
          </w:tcPr>
          <w:p w:rsidR="00956289" w:rsidRDefault="00672879">
            <w:pPr>
              <w:pStyle w:val="Other0"/>
              <w:pBdr>
                <w:top w:val="single" w:sz="0" w:space="0" w:color="000000"/>
                <w:left w:val="single" w:sz="0" w:space="0" w:color="000000"/>
                <w:bottom w:val="single" w:sz="0" w:space="0" w:color="000000"/>
                <w:right w:val="single" w:sz="0" w:space="0" w:color="000000"/>
              </w:pBdr>
              <w:shd w:val="clear" w:color="auto" w:fill="000000"/>
              <w:spacing w:after="0"/>
              <w:jc w:val="center"/>
              <w:rPr>
                <w:sz w:val="19"/>
                <w:szCs w:val="19"/>
              </w:rPr>
            </w:pPr>
            <w:r>
              <w:rPr>
                <w:b/>
                <w:bCs/>
                <w:color w:val="FFFFFF"/>
                <w:sz w:val="19"/>
                <w:szCs w:val="19"/>
              </w:rPr>
              <w:t>Professional Staff Members</w:t>
            </w:r>
          </w:p>
        </w:tc>
      </w:tr>
      <w:tr w:rsidR="00956289">
        <w:tblPrEx>
          <w:tblCellMar>
            <w:top w:w="0" w:type="dxa"/>
            <w:bottom w:w="0" w:type="dxa"/>
          </w:tblCellMar>
        </w:tblPrEx>
        <w:trPr>
          <w:gridAfter w:val="1"/>
          <w:trHeight w:hRule="exact" w:val="710"/>
          <w:jc w:val="center"/>
        </w:trPr>
        <w:tc>
          <w:tcPr>
            <w:tcW w:w="5678" w:type="dxa"/>
            <w:tcBorders>
              <w:left w:val="single" w:sz="4" w:space="0" w:color="auto"/>
            </w:tcBorders>
            <w:shd w:val="clear" w:color="auto" w:fill="FFFFFF"/>
            <w:vAlign w:val="bottom"/>
          </w:tcPr>
          <w:p w:rsidR="00956289" w:rsidRDefault="00672879">
            <w:pPr>
              <w:pStyle w:val="Other0"/>
              <w:spacing w:after="0"/>
              <w:rPr>
                <w:sz w:val="19"/>
                <w:szCs w:val="19"/>
              </w:rPr>
            </w:pPr>
            <w:r>
              <w:rPr>
                <w:b/>
                <w:bCs/>
                <w:sz w:val="19"/>
                <w:szCs w:val="19"/>
              </w:rPr>
              <w:t>NIAMEY</w:t>
            </w:r>
          </w:p>
          <w:p w:rsidR="00956289" w:rsidRDefault="00672879">
            <w:pPr>
              <w:pStyle w:val="Other0"/>
              <w:spacing w:after="0" w:line="202" w:lineRule="auto"/>
              <w:rPr>
                <w:sz w:val="22"/>
                <w:szCs w:val="22"/>
              </w:rPr>
            </w:pPr>
            <w:r>
              <w:rPr>
                <w:rFonts w:ascii="Calibri" w:eastAsia="Calibri" w:hAnsi="Calibri" w:cs="Calibri"/>
                <w:sz w:val="22"/>
                <w:szCs w:val="22"/>
              </w:rPr>
              <w:t>Housing Allowance for International Professional</w:t>
            </w:r>
          </w:p>
          <w:p w:rsidR="00956289" w:rsidRDefault="00672879">
            <w:pPr>
              <w:pStyle w:val="Other0"/>
              <w:spacing w:after="0" w:line="206" w:lineRule="auto"/>
              <w:rPr>
                <w:sz w:val="22"/>
                <w:szCs w:val="22"/>
              </w:rPr>
            </w:pPr>
            <w:r>
              <w:rPr>
                <w:rFonts w:ascii="Calibri" w:eastAsia="Calibri" w:hAnsi="Calibri" w:cs="Calibri"/>
                <w:sz w:val="22"/>
                <w:szCs w:val="22"/>
              </w:rPr>
              <w:t>Housing Allowance for National Professional</w:t>
            </w:r>
          </w:p>
        </w:tc>
        <w:tc>
          <w:tcPr>
            <w:tcW w:w="1421" w:type="dxa"/>
            <w:gridSpan w:val="2"/>
            <w:tcBorders>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D1-P4 2,118.00 40%</w:t>
            </w:r>
          </w:p>
        </w:tc>
        <w:tc>
          <w:tcPr>
            <w:tcW w:w="1426" w:type="dxa"/>
            <w:tcBorders>
              <w:left w:val="single" w:sz="4" w:space="0" w:color="auto"/>
              <w:right w:val="single" w:sz="4" w:space="0" w:color="auto"/>
            </w:tcBorders>
            <w:shd w:val="clear" w:color="auto" w:fill="FFFFFF"/>
            <w:vAlign w:val="bottom"/>
          </w:tcPr>
          <w:p w:rsidR="00956289" w:rsidRDefault="00672879">
            <w:pPr>
              <w:pStyle w:val="Other0"/>
              <w:spacing w:after="0" w:line="199" w:lineRule="auto"/>
              <w:ind w:firstLine="420"/>
              <w:jc w:val="both"/>
              <w:rPr>
                <w:sz w:val="22"/>
                <w:szCs w:val="22"/>
              </w:rPr>
            </w:pPr>
            <w:r>
              <w:rPr>
                <w:rFonts w:ascii="Calibri" w:eastAsia="Calibri" w:hAnsi="Calibri" w:cs="Calibri"/>
                <w:sz w:val="22"/>
                <w:szCs w:val="22"/>
              </w:rPr>
              <w:t>P3-P1</w:t>
            </w:r>
          </w:p>
          <w:p w:rsidR="00956289" w:rsidRDefault="00672879">
            <w:pPr>
              <w:pStyle w:val="Other0"/>
              <w:spacing w:after="0" w:line="199" w:lineRule="auto"/>
              <w:jc w:val="center"/>
              <w:rPr>
                <w:sz w:val="22"/>
                <w:szCs w:val="22"/>
              </w:rPr>
            </w:pPr>
            <w:r>
              <w:rPr>
                <w:rFonts w:ascii="Calibri" w:eastAsia="Calibri" w:hAnsi="Calibri" w:cs="Calibri"/>
                <w:sz w:val="22"/>
                <w:szCs w:val="22"/>
              </w:rPr>
              <w:t>1,766.40 30%</w:t>
            </w:r>
          </w:p>
        </w:tc>
      </w:tr>
      <w:tr w:rsidR="00956289">
        <w:tblPrEx>
          <w:tblCellMar>
            <w:top w:w="0" w:type="dxa"/>
            <w:bottom w:w="0" w:type="dxa"/>
          </w:tblCellMar>
        </w:tblPrEx>
        <w:trPr>
          <w:gridAfter w:val="1"/>
          <w:trHeight w:hRule="exact" w:val="696"/>
          <w:jc w:val="center"/>
        </w:trPr>
        <w:tc>
          <w:tcPr>
            <w:tcW w:w="5678" w:type="dxa"/>
            <w:tcBorders>
              <w:top w:val="single" w:sz="4" w:space="0" w:color="auto"/>
              <w:left w:val="single" w:sz="4" w:space="0" w:color="auto"/>
            </w:tcBorders>
            <w:shd w:val="clear" w:color="auto" w:fill="FFFFFF"/>
            <w:vAlign w:val="bottom"/>
          </w:tcPr>
          <w:p w:rsidR="00956289" w:rsidRDefault="00672879">
            <w:pPr>
              <w:pStyle w:val="Other0"/>
              <w:spacing w:after="0" w:line="252" w:lineRule="auto"/>
              <w:rPr>
                <w:sz w:val="19"/>
                <w:szCs w:val="19"/>
              </w:rPr>
            </w:pPr>
            <w:r>
              <w:rPr>
                <w:b/>
                <w:bCs/>
                <w:sz w:val="19"/>
                <w:szCs w:val="19"/>
              </w:rPr>
              <w:t>OUAGADOUGOU</w:t>
            </w:r>
          </w:p>
          <w:p w:rsidR="00956289" w:rsidRDefault="00672879">
            <w:pPr>
              <w:pStyle w:val="Other0"/>
              <w:spacing w:after="0" w:line="204" w:lineRule="auto"/>
              <w:rPr>
                <w:sz w:val="22"/>
                <w:szCs w:val="22"/>
              </w:rPr>
            </w:pPr>
            <w:r>
              <w:rPr>
                <w:rFonts w:ascii="Calibri" w:eastAsia="Calibri" w:hAnsi="Calibri" w:cs="Calibri"/>
                <w:sz w:val="22"/>
                <w:szCs w:val="22"/>
              </w:rPr>
              <w:t>Housing Allowance for International Professional Housing Allowance for National Professional</w:t>
            </w:r>
          </w:p>
        </w:tc>
        <w:tc>
          <w:tcPr>
            <w:tcW w:w="1421" w:type="dxa"/>
            <w:gridSpan w:val="2"/>
            <w:tcBorders>
              <w:top w:val="single" w:sz="4" w:space="0" w:color="auto"/>
              <w:left w:val="single" w:sz="4" w:space="0" w:color="auto"/>
            </w:tcBorders>
            <w:shd w:val="clear" w:color="auto" w:fill="FFFFFF"/>
            <w:vAlign w:val="bottom"/>
          </w:tcPr>
          <w:p w:rsidR="00956289" w:rsidRDefault="00672879">
            <w:pPr>
              <w:pStyle w:val="Other0"/>
              <w:spacing w:after="0" w:line="206" w:lineRule="auto"/>
              <w:jc w:val="center"/>
              <w:rPr>
                <w:sz w:val="22"/>
                <w:szCs w:val="22"/>
              </w:rPr>
            </w:pPr>
            <w:r>
              <w:rPr>
                <w:rFonts w:ascii="Calibri" w:eastAsia="Calibri" w:hAnsi="Calibri" w:cs="Calibri"/>
                <w:sz w:val="22"/>
                <w:szCs w:val="22"/>
              </w:rPr>
              <w:t>D1-P4</w:t>
            </w:r>
          </w:p>
          <w:p w:rsidR="00956289" w:rsidRDefault="00672879">
            <w:pPr>
              <w:pStyle w:val="Other0"/>
              <w:spacing w:after="0" w:line="206" w:lineRule="auto"/>
              <w:jc w:val="center"/>
              <w:rPr>
                <w:sz w:val="22"/>
                <w:szCs w:val="22"/>
              </w:rPr>
            </w:pPr>
            <w:r>
              <w:rPr>
                <w:rFonts w:ascii="Calibri" w:eastAsia="Calibri" w:hAnsi="Calibri" w:cs="Calibri"/>
                <w:sz w:val="22"/>
                <w:szCs w:val="22"/>
              </w:rPr>
              <w:t>1,860.00 40%</w:t>
            </w:r>
          </w:p>
        </w:tc>
        <w:tc>
          <w:tcPr>
            <w:tcW w:w="1426" w:type="dxa"/>
            <w:tcBorders>
              <w:top w:val="single" w:sz="4" w:space="0" w:color="auto"/>
              <w:left w:val="single" w:sz="4" w:space="0" w:color="auto"/>
              <w:right w:val="single" w:sz="4" w:space="0" w:color="auto"/>
            </w:tcBorders>
            <w:shd w:val="clear" w:color="auto" w:fill="FFFFFF"/>
            <w:vAlign w:val="bottom"/>
          </w:tcPr>
          <w:p w:rsidR="00956289" w:rsidRDefault="00672879">
            <w:pPr>
              <w:pStyle w:val="Other0"/>
              <w:spacing w:after="0" w:line="199" w:lineRule="auto"/>
              <w:ind w:firstLine="420"/>
              <w:jc w:val="both"/>
              <w:rPr>
                <w:sz w:val="22"/>
                <w:szCs w:val="22"/>
              </w:rPr>
            </w:pPr>
            <w:r>
              <w:rPr>
                <w:rFonts w:ascii="Calibri" w:eastAsia="Calibri" w:hAnsi="Calibri" w:cs="Calibri"/>
                <w:sz w:val="22"/>
                <w:szCs w:val="22"/>
              </w:rPr>
              <w:t>P3-P1</w:t>
            </w:r>
          </w:p>
          <w:p w:rsidR="00956289" w:rsidRDefault="00672879">
            <w:pPr>
              <w:pStyle w:val="Other0"/>
              <w:spacing w:after="0" w:line="199" w:lineRule="auto"/>
              <w:jc w:val="center"/>
              <w:rPr>
                <w:sz w:val="22"/>
                <w:szCs w:val="22"/>
              </w:rPr>
            </w:pPr>
            <w:r>
              <w:rPr>
                <w:rFonts w:ascii="Calibri" w:eastAsia="Calibri" w:hAnsi="Calibri" w:cs="Calibri"/>
                <w:sz w:val="22"/>
                <w:szCs w:val="22"/>
              </w:rPr>
              <w:t>1,627.50 30%</w:t>
            </w:r>
          </w:p>
        </w:tc>
      </w:tr>
      <w:tr w:rsidR="00956289">
        <w:tblPrEx>
          <w:tblCellMar>
            <w:top w:w="0" w:type="dxa"/>
            <w:bottom w:w="0" w:type="dxa"/>
          </w:tblCellMar>
        </w:tblPrEx>
        <w:trPr>
          <w:gridAfter w:val="1"/>
          <w:trHeight w:hRule="exact" w:val="701"/>
          <w:jc w:val="center"/>
        </w:trPr>
        <w:tc>
          <w:tcPr>
            <w:tcW w:w="5678" w:type="dxa"/>
            <w:tcBorders>
              <w:top w:val="single" w:sz="4" w:space="0" w:color="auto"/>
              <w:left w:val="single" w:sz="4" w:space="0" w:color="auto"/>
            </w:tcBorders>
            <w:shd w:val="clear" w:color="auto" w:fill="FFFFFF"/>
            <w:vAlign w:val="bottom"/>
          </w:tcPr>
          <w:p w:rsidR="00956289" w:rsidRDefault="00672879">
            <w:pPr>
              <w:pStyle w:val="Other0"/>
              <w:spacing w:after="0" w:line="252" w:lineRule="auto"/>
              <w:rPr>
                <w:sz w:val="19"/>
                <w:szCs w:val="19"/>
              </w:rPr>
            </w:pPr>
            <w:r>
              <w:rPr>
                <w:b/>
                <w:bCs/>
                <w:sz w:val="19"/>
                <w:szCs w:val="19"/>
              </w:rPr>
              <w:t>ABIDJAN</w:t>
            </w:r>
          </w:p>
          <w:p w:rsidR="00956289" w:rsidRDefault="00672879">
            <w:pPr>
              <w:pStyle w:val="Other0"/>
              <w:spacing w:after="0" w:line="204" w:lineRule="auto"/>
              <w:rPr>
                <w:sz w:val="22"/>
                <w:szCs w:val="22"/>
              </w:rPr>
            </w:pPr>
            <w:r>
              <w:rPr>
                <w:rFonts w:ascii="Calibri" w:eastAsia="Calibri" w:hAnsi="Calibri" w:cs="Calibri"/>
                <w:sz w:val="22"/>
                <w:szCs w:val="22"/>
              </w:rPr>
              <w:t>Housing Allowance for International Professional Housing Allowance for National Professional</w:t>
            </w:r>
          </w:p>
        </w:tc>
        <w:tc>
          <w:tcPr>
            <w:tcW w:w="1421" w:type="dxa"/>
            <w:gridSpan w:val="2"/>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 xml:space="preserve">D1-P4 </w:t>
            </w:r>
            <w:r>
              <w:rPr>
                <w:rFonts w:ascii="Calibri" w:eastAsia="Calibri" w:hAnsi="Calibri" w:cs="Calibri"/>
                <w:sz w:val="22"/>
                <w:szCs w:val="22"/>
              </w:rPr>
              <w:t>2,016.00 40%</w:t>
            </w:r>
          </w:p>
        </w:tc>
        <w:tc>
          <w:tcPr>
            <w:tcW w:w="1426" w:type="dxa"/>
            <w:tcBorders>
              <w:top w:val="single" w:sz="4" w:space="0" w:color="auto"/>
              <w:left w:val="single" w:sz="4" w:space="0" w:color="auto"/>
              <w:right w:val="single" w:sz="4" w:space="0" w:color="auto"/>
            </w:tcBorders>
            <w:shd w:val="clear" w:color="auto" w:fill="FFFFFF"/>
            <w:vAlign w:val="bottom"/>
          </w:tcPr>
          <w:p w:rsidR="00956289" w:rsidRDefault="00672879">
            <w:pPr>
              <w:pStyle w:val="Other0"/>
              <w:spacing w:after="0"/>
              <w:ind w:firstLine="420"/>
              <w:jc w:val="both"/>
              <w:rPr>
                <w:sz w:val="22"/>
                <w:szCs w:val="22"/>
              </w:rPr>
            </w:pPr>
            <w:r>
              <w:rPr>
                <w:rFonts w:ascii="Calibri" w:eastAsia="Calibri" w:hAnsi="Calibri" w:cs="Calibri"/>
                <w:sz w:val="22"/>
                <w:szCs w:val="22"/>
              </w:rPr>
              <w:t>P3-P1</w:t>
            </w:r>
          </w:p>
          <w:p w:rsidR="00956289" w:rsidRDefault="00672879">
            <w:pPr>
              <w:pStyle w:val="Other0"/>
              <w:spacing w:after="0" w:line="206" w:lineRule="auto"/>
              <w:ind w:firstLine="320"/>
              <w:rPr>
                <w:sz w:val="22"/>
                <w:szCs w:val="22"/>
              </w:rPr>
            </w:pPr>
            <w:r>
              <w:rPr>
                <w:rFonts w:ascii="Calibri" w:eastAsia="Calibri" w:hAnsi="Calibri" w:cs="Calibri"/>
                <w:sz w:val="22"/>
                <w:szCs w:val="22"/>
              </w:rPr>
              <w:t>1,766.40</w:t>
            </w:r>
          </w:p>
          <w:p w:rsidR="00956289" w:rsidRDefault="00672879">
            <w:pPr>
              <w:pStyle w:val="Other0"/>
              <w:spacing w:after="0" w:line="202" w:lineRule="auto"/>
              <w:ind w:firstLine="500"/>
              <w:jc w:val="both"/>
              <w:rPr>
                <w:sz w:val="22"/>
                <w:szCs w:val="22"/>
              </w:rPr>
            </w:pPr>
            <w:r>
              <w:rPr>
                <w:rFonts w:ascii="Calibri" w:eastAsia="Calibri" w:hAnsi="Calibri" w:cs="Calibri"/>
                <w:sz w:val="22"/>
                <w:szCs w:val="22"/>
              </w:rPr>
              <w:t>30%</w:t>
            </w:r>
          </w:p>
        </w:tc>
      </w:tr>
      <w:tr w:rsidR="00956289">
        <w:tblPrEx>
          <w:tblCellMar>
            <w:top w:w="0" w:type="dxa"/>
            <w:bottom w:w="0" w:type="dxa"/>
          </w:tblCellMar>
        </w:tblPrEx>
        <w:trPr>
          <w:gridAfter w:val="1"/>
          <w:trHeight w:hRule="exact" w:val="701"/>
          <w:jc w:val="center"/>
        </w:trPr>
        <w:tc>
          <w:tcPr>
            <w:tcW w:w="5678" w:type="dxa"/>
            <w:tcBorders>
              <w:top w:val="single" w:sz="4" w:space="0" w:color="auto"/>
              <w:left w:val="single" w:sz="4" w:space="0" w:color="auto"/>
            </w:tcBorders>
            <w:shd w:val="clear" w:color="auto" w:fill="FFFFFF"/>
            <w:vAlign w:val="bottom"/>
          </w:tcPr>
          <w:p w:rsidR="00956289" w:rsidRDefault="00672879">
            <w:pPr>
              <w:pStyle w:val="Other0"/>
              <w:spacing w:after="0" w:line="252" w:lineRule="auto"/>
              <w:rPr>
                <w:sz w:val="19"/>
                <w:szCs w:val="19"/>
              </w:rPr>
            </w:pPr>
            <w:r>
              <w:rPr>
                <w:b/>
                <w:bCs/>
                <w:sz w:val="19"/>
                <w:szCs w:val="19"/>
              </w:rPr>
              <w:t>YAOUNDE</w:t>
            </w:r>
          </w:p>
          <w:p w:rsidR="00956289" w:rsidRDefault="00672879">
            <w:pPr>
              <w:pStyle w:val="Other0"/>
              <w:spacing w:after="0" w:line="204" w:lineRule="auto"/>
              <w:rPr>
                <w:sz w:val="22"/>
                <w:szCs w:val="22"/>
              </w:rPr>
            </w:pPr>
            <w:r>
              <w:rPr>
                <w:rFonts w:ascii="Calibri" w:eastAsia="Calibri" w:hAnsi="Calibri" w:cs="Calibri"/>
                <w:sz w:val="22"/>
                <w:szCs w:val="22"/>
              </w:rPr>
              <w:t>Housing Allowance for International Professional Housing Allowance for National Professional</w:t>
            </w:r>
          </w:p>
        </w:tc>
        <w:tc>
          <w:tcPr>
            <w:tcW w:w="1421" w:type="dxa"/>
            <w:gridSpan w:val="2"/>
            <w:tcBorders>
              <w:top w:val="single" w:sz="4" w:space="0" w:color="auto"/>
              <w:left w:val="single" w:sz="4" w:space="0" w:color="auto"/>
            </w:tcBorders>
            <w:shd w:val="clear" w:color="auto" w:fill="FFFFFF"/>
            <w:vAlign w:val="bottom"/>
          </w:tcPr>
          <w:p w:rsidR="00956289" w:rsidRDefault="00672879">
            <w:pPr>
              <w:pStyle w:val="Other0"/>
              <w:spacing w:after="0" w:line="206" w:lineRule="auto"/>
              <w:jc w:val="center"/>
              <w:rPr>
                <w:sz w:val="22"/>
                <w:szCs w:val="22"/>
              </w:rPr>
            </w:pPr>
            <w:r>
              <w:rPr>
                <w:rFonts w:ascii="Calibri" w:eastAsia="Calibri" w:hAnsi="Calibri" w:cs="Calibri"/>
                <w:sz w:val="22"/>
                <w:szCs w:val="22"/>
              </w:rPr>
              <w:t>D1-P4</w:t>
            </w:r>
          </w:p>
          <w:p w:rsidR="00956289" w:rsidRDefault="00672879">
            <w:pPr>
              <w:pStyle w:val="Other0"/>
              <w:spacing w:after="0" w:line="206" w:lineRule="auto"/>
              <w:jc w:val="center"/>
              <w:rPr>
                <w:sz w:val="22"/>
                <w:szCs w:val="22"/>
              </w:rPr>
            </w:pPr>
            <w:r>
              <w:rPr>
                <w:rFonts w:ascii="Calibri" w:eastAsia="Calibri" w:hAnsi="Calibri" w:cs="Calibri"/>
                <w:sz w:val="22"/>
                <w:szCs w:val="22"/>
              </w:rPr>
              <w:t>1,819.39 40%</w:t>
            </w:r>
          </w:p>
        </w:tc>
        <w:tc>
          <w:tcPr>
            <w:tcW w:w="1426" w:type="dxa"/>
            <w:tcBorders>
              <w:top w:val="single" w:sz="4" w:space="0" w:color="auto"/>
              <w:left w:val="single" w:sz="4" w:space="0" w:color="auto"/>
              <w:right w:val="single" w:sz="4" w:space="0" w:color="auto"/>
            </w:tcBorders>
            <w:shd w:val="clear" w:color="auto" w:fill="FFFFFF"/>
            <w:vAlign w:val="bottom"/>
          </w:tcPr>
          <w:p w:rsidR="00956289" w:rsidRDefault="00672879">
            <w:pPr>
              <w:pStyle w:val="Other0"/>
              <w:spacing w:after="0" w:line="199" w:lineRule="auto"/>
              <w:ind w:firstLine="420"/>
              <w:jc w:val="both"/>
              <w:rPr>
                <w:sz w:val="22"/>
                <w:szCs w:val="22"/>
              </w:rPr>
            </w:pPr>
            <w:r>
              <w:rPr>
                <w:rFonts w:ascii="Calibri" w:eastAsia="Calibri" w:hAnsi="Calibri" w:cs="Calibri"/>
                <w:sz w:val="22"/>
                <w:szCs w:val="22"/>
              </w:rPr>
              <w:t>P3-P1</w:t>
            </w:r>
          </w:p>
          <w:p w:rsidR="00956289" w:rsidRDefault="00672879">
            <w:pPr>
              <w:pStyle w:val="Other0"/>
              <w:spacing w:after="0" w:line="199" w:lineRule="auto"/>
              <w:jc w:val="center"/>
              <w:rPr>
                <w:sz w:val="22"/>
                <w:szCs w:val="22"/>
              </w:rPr>
            </w:pPr>
            <w:r>
              <w:rPr>
                <w:rFonts w:ascii="Calibri" w:eastAsia="Calibri" w:hAnsi="Calibri" w:cs="Calibri"/>
                <w:sz w:val="22"/>
                <w:szCs w:val="22"/>
              </w:rPr>
              <w:t>1,533.00 30%</w:t>
            </w:r>
          </w:p>
        </w:tc>
      </w:tr>
      <w:tr w:rsidR="00956289">
        <w:tblPrEx>
          <w:tblCellMar>
            <w:top w:w="0" w:type="dxa"/>
            <w:bottom w:w="0" w:type="dxa"/>
          </w:tblCellMar>
        </w:tblPrEx>
        <w:trPr>
          <w:gridAfter w:val="1"/>
          <w:trHeight w:hRule="exact" w:val="701"/>
          <w:jc w:val="center"/>
        </w:trPr>
        <w:tc>
          <w:tcPr>
            <w:tcW w:w="5678" w:type="dxa"/>
            <w:tcBorders>
              <w:top w:val="single" w:sz="4" w:space="0" w:color="auto"/>
              <w:left w:val="single" w:sz="4" w:space="0" w:color="auto"/>
            </w:tcBorders>
            <w:shd w:val="clear" w:color="auto" w:fill="FFFFFF"/>
            <w:vAlign w:val="bottom"/>
          </w:tcPr>
          <w:p w:rsidR="00956289" w:rsidRDefault="00672879">
            <w:pPr>
              <w:pStyle w:val="Other0"/>
              <w:spacing w:after="0" w:line="252" w:lineRule="auto"/>
              <w:rPr>
                <w:sz w:val="19"/>
                <w:szCs w:val="19"/>
              </w:rPr>
            </w:pPr>
            <w:r>
              <w:rPr>
                <w:b/>
                <w:bCs/>
                <w:sz w:val="19"/>
                <w:szCs w:val="19"/>
              </w:rPr>
              <w:t>KINSHASA, BANGUI</w:t>
            </w:r>
          </w:p>
          <w:p w:rsidR="00956289" w:rsidRDefault="00672879">
            <w:pPr>
              <w:pStyle w:val="Other0"/>
              <w:spacing w:after="0" w:line="204" w:lineRule="auto"/>
              <w:rPr>
                <w:sz w:val="22"/>
                <w:szCs w:val="22"/>
              </w:rPr>
            </w:pPr>
            <w:r>
              <w:rPr>
                <w:rFonts w:ascii="Calibri" w:eastAsia="Calibri" w:hAnsi="Calibri" w:cs="Calibri"/>
                <w:sz w:val="22"/>
                <w:szCs w:val="22"/>
              </w:rPr>
              <w:t xml:space="preserve">Housing Allowance for International Professional Housing </w:t>
            </w:r>
            <w:r>
              <w:rPr>
                <w:rFonts w:ascii="Calibri" w:eastAsia="Calibri" w:hAnsi="Calibri" w:cs="Calibri"/>
                <w:sz w:val="22"/>
                <w:szCs w:val="22"/>
              </w:rPr>
              <w:t>Allowance for National Professional</w:t>
            </w:r>
          </w:p>
        </w:tc>
        <w:tc>
          <w:tcPr>
            <w:tcW w:w="1421" w:type="dxa"/>
            <w:gridSpan w:val="2"/>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D1-P4</w:t>
            </w:r>
          </w:p>
          <w:p w:rsidR="00956289" w:rsidRDefault="00672879">
            <w:pPr>
              <w:pStyle w:val="Other0"/>
              <w:spacing w:after="0" w:line="204" w:lineRule="auto"/>
              <w:jc w:val="center"/>
              <w:rPr>
                <w:sz w:val="22"/>
                <w:szCs w:val="22"/>
              </w:rPr>
            </w:pPr>
            <w:r>
              <w:rPr>
                <w:rFonts w:ascii="Calibri" w:eastAsia="Calibri" w:hAnsi="Calibri" w:cs="Calibri"/>
                <w:sz w:val="22"/>
                <w:szCs w:val="22"/>
              </w:rPr>
              <w:t>2,378.25 40%</w:t>
            </w:r>
          </w:p>
        </w:tc>
        <w:tc>
          <w:tcPr>
            <w:tcW w:w="1426" w:type="dxa"/>
            <w:tcBorders>
              <w:top w:val="single" w:sz="4" w:space="0" w:color="auto"/>
              <w:left w:val="single" w:sz="4" w:space="0" w:color="auto"/>
              <w:right w:val="single" w:sz="4" w:space="0" w:color="auto"/>
            </w:tcBorders>
            <w:shd w:val="clear" w:color="auto" w:fill="FFFFFF"/>
            <w:vAlign w:val="bottom"/>
          </w:tcPr>
          <w:p w:rsidR="00956289" w:rsidRDefault="00672879">
            <w:pPr>
              <w:pStyle w:val="Other0"/>
              <w:spacing w:after="0"/>
              <w:ind w:firstLine="420"/>
              <w:jc w:val="both"/>
              <w:rPr>
                <w:sz w:val="22"/>
                <w:szCs w:val="22"/>
              </w:rPr>
            </w:pPr>
            <w:r>
              <w:rPr>
                <w:rFonts w:ascii="Calibri" w:eastAsia="Calibri" w:hAnsi="Calibri" w:cs="Calibri"/>
                <w:sz w:val="22"/>
                <w:szCs w:val="22"/>
              </w:rPr>
              <w:t>P3-P1</w:t>
            </w:r>
          </w:p>
          <w:p w:rsidR="00956289" w:rsidRDefault="00672879">
            <w:pPr>
              <w:pStyle w:val="Other0"/>
              <w:spacing w:after="0" w:line="206" w:lineRule="auto"/>
              <w:ind w:firstLine="320"/>
              <w:rPr>
                <w:sz w:val="22"/>
                <w:szCs w:val="22"/>
              </w:rPr>
            </w:pPr>
            <w:r>
              <w:rPr>
                <w:rFonts w:ascii="Calibri" w:eastAsia="Calibri" w:hAnsi="Calibri" w:cs="Calibri"/>
                <w:sz w:val="22"/>
                <w:szCs w:val="22"/>
              </w:rPr>
              <w:t>1,766.40</w:t>
            </w:r>
          </w:p>
          <w:p w:rsidR="00956289" w:rsidRDefault="00672879">
            <w:pPr>
              <w:pStyle w:val="Other0"/>
              <w:spacing w:after="0" w:line="197" w:lineRule="auto"/>
              <w:ind w:firstLine="500"/>
              <w:jc w:val="both"/>
              <w:rPr>
                <w:sz w:val="22"/>
                <w:szCs w:val="22"/>
              </w:rPr>
            </w:pPr>
            <w:r>
              <w:rPr>
                <w:rFonts w:ascii="Calibri" w:eastAsia="Calibri" w:hAnsi="Calibri" w:cs="Calibri"/>
                <w:sz w:val="22"/>
                <w:szCs w:val="22"/>
              </w:rPr>
              <w:t>30%</w:t>
            </w:r>
          </w:p>
        </w:tc>
      </w:tr>
      <w:tr w:rsidR="00956289">
        <w:tblPrEx>
          <w:tblCellMar>
            <w:top w:w="0" w:type="dxa"/>
            <w:bottom w:w="0" w:type="dxa"/>
          </w:tblCellMar>
        </w:tblPrEx>
        <w:trPr>
          <w:gridAfter w:val="1"/>
          <w:trHeight w:hRule="exact" w:val="701"/>
          <w:jc w:val="center"/>
        </w:trPr>
        <w:tc>
          <w:tcPr>
            <w:tcW w:w="5678" w:type="dxa"/>
            <w:tcBorders>
              <w:top w:val="single" w:sz="4" w:space="0" w:color="auto"/>
              <w:left w:val="single" w:sz="4" w:space="0" w:color="auto"/>
            </w:tcBorders>
            <w:shd w:val="clear" w:color="auto" w:fill="FFFFFF"/>
            <w:vAlign w:val="bottom"/>
          </w:tcPr>
          <w:p w:rsidR="00956289" w:rsidRDefault="00672879">
            <w:pPr>
              <w:pStyle w:val="Other0"/>
              <w:spacing w:after="0" w:line="252" w:lineRule="auto"/>
              <w:rPr>
                <w:sz w:val="19"/>
                <w:szCs w:val="19"/>
              </w:rPr>
            </w:pPr>
            <w:r>
              <w:rPr>
                <w:b/>
                <w:bCs/>
                <w:sz w:val="19"/>
                <w:szCs w:val="19"/>
              </w:rPr>
              <w:t>MALABO</w:t>
            </w:r>
          </w:p>
          <w:p w:rsidR="00956289" w:rsidRDefault="00672879">
            <w:pPr>
              <w:pStyle w:val="Other0"/>
              <w:spacing w:after="0" w:line="204" w:lineRule="auto"/>
              <w:rPr>
                <w:sz w:val="22"/>
                <w:szCs w:val="22"/>
              </w:rPr>
            </w:pPr>
            <w:r>
              <w:rPr>
                <w:rFonts w:ascii="Calibri" w:eastAsia="Calibri" w:hAnsi="Calibri" w:cs="Calibri"/>
                <w:sz w:val="22"/>
                <w:szCs w:val="22"/>
              </w:rPr>
              <w:t>Housing Allowance for International Professional Housing Allowance for National Professional</w:t>
            </w:r>
          </w:p>
        </w:tc>
        <w:tc>
          <w:tcPr>
            <w:tcW w:w="1421" w:type="dxa"/>
            <w:gridSpan w:val="2"/>
            <w:tcBorders>
              <w:top w:val="single" w:sz="4" w:space="0" w:color="auto"/>
              <w:left w:val="single" w:sz="4" w:space="0" w:color="auto"/>
            </w:tcBorders>
            <w:shd w:val="clear" w:color="auto" w:fill="FFFFFF"/>
            <w:vAlign w:val="bottom"/>
          </w:tcPr>
          <w:p w:rsidR="00956289" w:rsidRDefault="00672879">
            <w:pPr>
              <w:pStyle w:val="Other0"/>
              <w:spacing w:after="0" w:line="204" w:lineRule="auto"/>
              <w:jc w:val="center"/>
              <w:rPr>
                <w:sz w:val="22"/>
                <w:szCs w:val="22"/>
              </w:rPr>
            </w:pPr>
            <w:r>
              <w:rPr>
                <w:rFonts w:ascii="Calibri" w:eastAsia="Calibri" w:hAnsi="Calibri" w:cs="Calibri"/>
                <w:sz w:val="22"/>
                <w:szCs w:val="22"/>
              </w:rPr>
              <w:t>D1-P4</w:t>
            </w:r>
          </w:p>
          <w:p w:rsidR="00956289" w:rsidRDefault="00672879">
            <w:pPr>
              <w:pStyle w:val="Other0"/>
              <w:spacing w:after="0" w:line="204" w:lineRule="auto"/>
              <w:jc w:val="center"/>
              <w:rPr>
                <w:sz w:val="22"/>
                <w:szCs w:val="22"/>
              </w:rPr>
            </w:pPr>
            <w:r>
              <w:rPr>
                <w:rFonts w:ascii="Calibri" w:eastAsia="Calibri" w:hAnsi="Calibri" w:cs="Calibri"/>
                <w:sz w:val="22"/>
                <w:szCs w:val="22"/>
              </w:rPr>
              <w:t>1,944.00 40%</w:t>
            </w:r>
          </w:p>
        </w:tc>
        <w:tc>
          <w:tcPr>
            <w:tcW w:w="1426" w:type="dxa"/>
            <w:tcBorders>
              <w:top w:val="single" w:sz="4" w:space="0" w:color="auto"/>
              <w:left w:val="single" w:sz="4" w:space="0" w:color="auto"/>
              <w:right w:val="single" w:sz="4" w:space="0" w:color="auto"/>
            </w:tcBorders>
            <w:shd w:val="clear" w:color="auto" w:fill="FFFFFF"/>
            <w:vAlign w:val="bottom"/>
          </w:tcPr>
          <w:p w:rsidR="00956289" w:rsidRDefault="00672879">
            <w:pPr>
              <w:pStyle w:val="Other0"/>
              <w:spacing w:after="0"/>
              <w:ind w:firstLine="420"/>
              <w:jc w:val="both"/>
              <w:rPr>
                <w:sz w:val="22"/>
                <w:szCs w:val="22"/>
              </w:rPr>
            </w:pPr>
            <w:r>
              <w:rPr>
                <w:rFonts w:ascii="Calibri" w:eastAsia="Calibri" w:hAnsi="Calibri" w:cs="Calibri"/>
                <w:sz w:val="22"/>
                <w:szCs w:val="22"/>
              </w:rPr>
              <w:t>P3-P1</w:t>
            </w:r>
          </w:p>
          <w:p w:rsidR="00956289" w:rsidRDefault="00672879">
            <w:pPr>
              <w:pStyle w:val="Other0"/>
              <w:spacing w:after="0" w:line="206" w:lineRule="auto"/>
              <w:ind w:firstLine="320"/>
              <w:rPr>
                <w:sz w:val="22"/>
                <w:szCs w:val="22"/>
              </w:rPr>
            </w:pPr>
            <w:r>
              <w:rPr>
                <w:rFonts w:ascii="Calibri" w:eastAsia="Calibri" w:hAnsi="Calibri" w:cs="Calibri"/>
                <w:sz w:val="22"/>
                <w:szCs w:val="22"/>
              </w:rPr>
              <w:t>1,701.00</w:t>
            </w:r>
          </w:p>
          <w:p w:rsidR="00956289" w:rsidRDefault="00672879">
            <w:pPr>
              <w:pStyle w:val="Other0"/>
              <w:spacing w:after="0" w:line="202" w:lineRule="auto"/>
              <w:ind w:firstLine="500"/>
              <w:jc w:val="both"/>
              <w:rPr>
                <w:sz w:val="22"/>
                <w:szCs w:val="22"/>
              </w:rPr>
            </w:pPr>
            <w:r>
              <w:rPr>
                <w:rFonts w:ascii="Calibri" w:eastAsia="Calibri" w:hAnsi="Calibri" w:cs="Calibri"/>
                <w:sz w:val="22"/>
                <w:szCs w:val="22"/>
              </w:rPr>
              <w:t>30%</w:t>
            </w:r>
          </w:p>
        </w:tc>
      </w:tr>
      <w:tr w:rsidR="00956289">
        <w:tblPrEx>
          <w:tblCellMar>
            <w:top w:w="0" w:type="dxa"/>
            <w:bottom w:w="0" w:type="dxa"/>
          </w:tblCellMar>
        </w:tblPrEx>
        <w:trPr>
          <w:gridAfter w:val="1"/>
          <w:trHeight w:hRule="exact" w:val="696"/>
          <w:jc w:val="center"/>
        </w:trPr>
        <w:tc>
          <w:tcPr>
            <w:tcW w:w="5678" w:type="dxa"/>
            <w:tcBorders>
              <w:top w:val="single" w:sz="4" w:space="0" w:color="auto"/>
              <w:left w:val="single" w:sz="4" w:space="0" w:color="auto"/>
            </w:tcBorders>
            <w:shd w:val="clear" w:color="auto" w:fill="FFFFFF"/>
            <w:vAlign w:val="bottom"/>
          </w:tcPr>
          <w:p w:rsidR="00956289" w:rsidRDefault="00672879">
            <w:pPr>
              <w:pStyle w:val="Other0"/>
              <w:spacing w:after="0"/>
              <w:rPr>
                <w:sz w:val="19"/>
                <w:szCs w:val="19"/>
              </w:rPr>
            </w:pPr>
            <w:r>
              <w:rPr>
                <w:b/>
                <w:bCs/>
                <w:sz w:val="19"/>
                <w:szCs w:val="19"/>
              </w:rPr>
              <w:t>KHARTOUM, JUBA AND NDJAMENA</w:t>
            </w:r>
          </w:p>
          <w:p w:rsidR="00956289" w:rsidRDefault="00672879">
            <w:pPr>
              <w:pStyle w:val="Other0"/>
              <w:spacing w:after="0" w:line="199" w:lineRule="auto"/>
              <w:rPr>
                <w:sz w:val="22"/>
                <w:szCs w:val="22"/>
              </w:rPr>
            </w:pPr>
            <w:r>
              <w:rPr>
                <w:rFonts w:ascii="Calibri" w:eastAsia="Calibri" w:hAnsi="Calibri" w:cs="Calibri"/>
                <w:sz w:val="22"/>
                <w:szCs w:val="22"/>
              </w:rPr>
              <w:t xml:space="preserve">Housing </w:t>
            </w:r>
            <w:r>
              <w:rPr>
                <w:rFonts w:ascii="Calibri" w:eastAsia="Calibri" w:hAnsi="Calibri" w:cs="Calibri"/>
                <w:sz w:val="22"/>
                <w:szCs w:val="22"/>
              </w:rPr>
              <w:t>Allowance for International Professional Housing Allowance for National Professional</w:t>
            </w:r>
          </w:p>
        </w:tc>
        <w:tc>
          <w:tcPr>
            <w:tcW w:w="1421" w:type="dxa"/>
            <w:gridSpan w:val="2"/>
            <w:tcBorders>
              <w:top w:val="single" w:sz="4" w:space="0" w:color="auto"/>
              <w:left w:val="single" w:sz="4" w:space="0" w:color="auto"/>
            </w:tcBorders>
            <w:shd w:val="clear" w:color="auto" w:fill="FFFFFF"/>
            <w:vAlign w:val="bottom"/>
          </w:tcPr>
          <w:p w:rsidR="00956289" w:rsidRDefault="00672879">
            <w:pPr>
              <w:pStyle w:val="Other0"/>
              <w:spacing w:after="0" w:line="206" w:lineRule="auto"/>
              <w:jc w:val="center"/>
              <w:rPr>
                <w:sz w:val="22"/>
                <w:szCs w:val="22"/>
              </w:rPr>
            </w:pPr>
            <w:r>
              <w:rPr>
                <w:rFonts w:ascii="Calibri" w:eastAsia="Calibri" w:hAnsi="Calibri" w:cs="Calibri"/>
                <w:sz w:val="22"/>
                <w:szCs w:val="22"/>
              </w:rPr>
              <w:t>D1-P4</w:t>
            </w:r>
          </w:p>
          <w:p w:rsidR="00956289" w:rsidRDefault="00672879">
            <w:pPr>
              <w:pStyle w:val="Other0"/>
              <w:spacing w:after="0" w:line="206" w:lineRule="auto"/>
              <w:jc w:val="center"/>
              <w:rPr>
                <w:sz w:val="22"/>
                <w:szCs w:val="22"/>
              </w:rPr>
            </w:pPr>
            <w:r>
              <w:rPr>
                <w:rFonts w:ascii="Calibri" w:eastAsia="Calibri" w:hAnsi="Calibri" w:cs="Calibri"/>
                <w:sz w:val="22"/>
                <w:szCs w:val="22"/>
              </w:rPr>
              <w:t>1,758.75 40%</w:t>
            </w:r>
          </w:p>
        </w:tc>
        <w:tc>
          <w:tcPr>
            <w:tcW w:w="1426" w:type="dxa"/>
            <w:tcBorders>
              <w:top w:val="single" w:sz="4" w:space="0" w:color="auto"/>
              <w:left w:val="single" w:sz="4" w:space="0" w:color="auto"/>
              <w:right w:val="single" w:sz="4" w:space="0" w:color="auto"/>
            </w:tcBorders>
            <w:shd w:val="clear" w:color="auto" w:fill="FFFFFF"/>
            <w:vAlign w:val="bottom"/>
          </w:tcPr>
          <w:p w:rsidR="00956289" w:rsidRDefault="00672879">
            <w:pPr>
              <w:pStyle w:val="Other0"/>
              <w:spacing w:after="0"/>
              <w:ind w:firstLine="420"/>
              <w:jc w:val="both"/>
              <w:rPr>
                <w:sz w:val="22"/>
                <w:szCs w:val="22"/>
              </w:rPr>
            </w:pPr>
            <w:r>
              <w:rPr>
                <w:rFonts w:ascii="Calibri" w:eastAsia="Calibri" w:hAnsi="Calibri" w:cs="Calibri"/>
                <w:sz w:val="22"/>
                <w:szCs w:val="22"/>
              </w:rPr>
              <w:t>P3-P1</w:t>
            </w:r>
          </w:p>
          <w:p w:rsidR="00956289" w:rsidRDefault="00672879">
            <w:pPr>
              <w:pStyle w:val="Other0"/>
              <w:spacing w:after="0" w:line="206" w:lineRule="auto"/>
              <w:ind w:firstLine="320"/>
              <w:rPr>
                <w:sz w:val="22"/>
                <w:szCs w:val="22"/>
              </w:rPr>
            </w:pPr>
            <w:r>
              <w:rPr>
                <w:rFonts w:ascii="Calibri" w:eastAsia="Calibri" w:hAnsi="Calibri" w:cs="Calibri"/>
                <w:sz w:val="22"/>
                <w:szCs w:val="22"/>
              </w:rPr>
              <w:t>1,401.60</w:t>
            </w:r>
          </w:p>
          <w:p w:rsidR="00956289" w:rsidRDefault="00672879">
            <w:pPr>
              <w:pStyle w:val="Other0"/>
              <w:spacing w:after="0" w:line="197" w:lineRule="auto"/>
              <w:ind w:firstLine="500"/>
              <w:jc w:val="both"/>
              <w:rPr>
                <w:sz w:val="22"/>
                <w:szCs w:val="22"/>
              </w:rPr>
            </w:pPr>
            <w:r>
              <w:rPr>
                <w:rFonts w:ascii="Calibri" w:eastAsia="Calibri" w:hAnsi="Calibri" w:cs="Calibri"/>
                <w:sz w:val="22"/>
                <w:szCs w:val="22"/>
              </w:rPr>
              <w:t>30%</w:t>
            </w:r>
          </w:p>
        </w:tc>
      </w:tr>
      <w:tr w:rsidR="00956289">
        <w:tblPrEx>
          <w:tblCellMar>
            <w:top w:w="0" w:type="dxa"/>
            <w:bottom w:w="0" w:type="dxa"/>
          </w:tblCellMar>
        </w:tblPrEx>
        <w:trPr>
          <w:gridAfter w:val="1"/>
          <w:trHeight w:hRule="exact" w:val="720"/>
          <w:jc w:val="center"/>
        </w:trPr>
        <w:tc>
          <w:tcPr>
            <w:tcW w:w="5678" w:type="dxa"/>
            <w:tcBorders>
              <w:top w:val="single" w:sz="4" w:space="0" w:color="auto"/>
              <w:left w:val="single" w:sz="4" w:space="0" w:color="auto"/>
              <w:bottom w:val="single" w:sz="4" w:space="0" w:color="auto"/>
            </w:tcBorders>
            <w:shd w:val="clear" w:color="auto" w:fill="FFFFFF"/>
          </w:tcPr>
          <w:p w:rsidR="00956289" w:rsidRDefault="00672879">
            <w:pPr>
              <w:pStyle w:val="Other0"/>
              <w:spacing w:after="0"/>
              <w:rPr>
                <w:sz w:val="19"/>
                <w:szCs w:val="19"/>
              </w:rPr>
            </w:pPr>
            <w:r>
              <w:rPr>
                <w:b/>
                <w:bCs/>
                <w:sz w:val="19"/>
                <w:szCs w:val="19"/>
              </w:rPr>
              <w:t>MOGADISHU</w:t>
            </w:r>
          </w:p>
          <w:p w:rsidR="00956289" w:rsidRDefault="00672879">
            <w:pPr>
              <w:pStyle w:val="Other0"/>
              <w:spacing w:after="0" w:line="199" w:lineRule="auto"/>
              <w:rPr>
                <w:sz w:val="22"/>
                <w:szCs w:val="22"/>
              </w:rPr>
            </w:pPr>
            <w:r>
              <w:rPr>
                <w:rFonts w:ascii="Calibri" w:eastAsia="Calibri" w:hAnsi="Calibri" w:cs="Calibri"/>
                <w:sz w:val="22"/>
                <w:szCs w:val="22"/>
              </w:rPr>
              <w:t>Housing Allowance for International Professional Housing Allowance for Local Professional</w:t>
            </w:r>
          </w:p>
        </w:tc>
        <w:tc>
          <w:tcPr>
            <w:tcW w:w="1421" w:type="dxa"/>
            <w:gridSpan w:val="2"/>
            <w:tcBorders>
              <w:top w:val="single" w:sz="4" w:space="0" w:color="auto"/>
              <w:left w:val="single" w:sz="4" w:space="0" w:color="auto"/>
              <w:bottom w:val="single" w:sz="4" w:space="0" w:color="auto"/>
            </w:tcBorders>
            <w:shd w:val="clear" w:color="auto" w:fill="FFFFFF"/>
          </w:tcPr>
          <w:p w:rsidR="00956289" w:rsidRDefault="00672879">
            <w:pPr>
              <w:pStyle w:val="Other0"/>
              <w:spacing w:after="0" w:line="204" w:lineRule="auto"/>
              <w:jc w:val="center"/>
              <w:rPr>
                <w:sz w:val="22"/>
                <w:szCs w:val="22"/>
              </w:rPr>
            </w:pPr>
            <w:r>
              <w:rPr>
                <w:rFonts w:ascii="Calibri" w:eastAsia="Calibri" w:hAnsi="Calibri" w:cs="Calibri"/>
                <w:sz w:val="22"/>
                <w:szCs w:val="22"/>
              </w:rPr>
              <w:t>D1-P4 2,073.75 40%</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956289" w:rsidRDefault="00672879">
            <w:pPr>
              <w:pStyle w:val="Other0"/>
              <w:spacing w:after="0"/>
              <w:ind w:firstLine="420"/>
              <w:jc w:val="both"/>
              <w:rPr>
                <w:sz w:val="22"/>
                <w:szCs w:val="22"/>
              </w:rPr>
            </w:pPr>
            <w:r>
              <w:rPr>
                <w:rFonts w:ascii="Calibri" w:eastAsia="Calibri" w:hAnsi="Calibri" w:cs="Calibri"/>
                <w:sz w:val="22"/>
                <w:szCs w:val="22"/>
              </w:rPr>
              <w:t>P3-P1</w:t>
            </w:r>
          </w:p>
          <w:p w:rsidR="00956289" w:rsidRDefault="00672879">
            <w:pPr>
              <w:pStyle w:val="Other0"/>
              <w:spacing w:after="0" w:line="202" w:lineRule="auto"/>
              <w:ind w:firstLine="320"/>
              <w:rPr>
                <w:sz w:val="22"/>
                <w:szCs w:val="22"/>
              </w:rPr>
            </w:pPr>
            <w:r>
              <w:rPr>
                <w:rFonts w:ascii="Calibri" w:eastAsia="Calibri" w:hAnsi="Calibri" w:cs="Calibri"/>
                <w:sz w:val="22"/>
                <w:szCs w:val="22"/>
              </w:rPr>
              <w:t>1,401.60</w:t>
            </w:r>
          </w:p>
          <w:p w:rsidR="00956289" w:rsidRDefault="00672879">
            <w:pPr>
              <w:pStyle w:val="Other0"/>
              <w:spacing w:after="0" w:line="202" w:lineRule="auto"/>
              <w:ind w:firstLine="500"/>
              <w:jc w:val="both"/>
              <w:rPr>
                <w:sz w:val="22"/>
                <w:szCs w:val="22"/>
              </w:rPr>
            </w:pPr>
            <w:r>
              <w:rPr>
                <w:rFonts w:ascii="Calibri" w:eastAsia="Calibri" w:hAnsi="Calibri" w:cs="Calibri"/>
                <w:sz w:val="22"/>
                <w:szCs w:val="22"/>
              </w:rPr>
              <w:t>30%</w:t>
            </w:r>
          </w:p>
        </w:tc>
      </w:tr>
    </w:tbl>
    <w:p w:rsidR="00956289" w:rsidRDefault="00956289">
      <w:pPr>
        <w:spacing w:after="259" w:line="1" w:lineRule="exact"/>
      </w:pPr>
    </w:p>
    <w:p w:rsidR="00956289" w:rsidRDefault="00672879" w:rsidP="00672879">
      <w:pPr>
        <w:pStyle w:val="BodyText"/>
        <w:tabs>
          <w:tab w:val="left" w:pos="1391"/>
        </w:tabs>
        <w:spacing w:after="260"/>
        <w:ind w:firstLine="820"/>
      </w:pPr>
      <w:bookmarkStart w:id="49" w:name="bookmark49"/>
      <w:bookmarkEnd w:id="49"/>
      <w:r>
        <w:rPr>
          <w:b/>
          <w:bCs/>
          <w:shd w:val="clear" w:color="auto" w:fill="FFFFFF"/>
        </w:rPr>
        <w:t>II.</w:t>
      </w:r>
      <w:r>
        <w:rPr>
          <w:b/>
          <w:bCs/>
          <w:shd w:val="clear" w:color="auto" w:fill="FFFFFF"/>
        </w:rPr>
        <w:tab/>
      </w:r>
      <w:r>
        <w:rPr>
          <w:b/>
          <w:bCs/>
        </w:rPr>
        <w:t>ON MULTILATERAL COOPERATION - Doc. EX.CL/1016(XXXI)ii</w:t>
      </w:r>
    </w:p>
    <w:p w:rsidR="00956289" w:rsidRDefault="00672879" w:rsidP="00672879">
      <w:pPr>
        <w:pStyle w:val="BodyText"/>
        <w:tabs>
          <w:tab w:val="left" w:pos="1958"/>
        </w:tabs>
        <w:spacing w:after="260"/>
        <w:ind w:left="1380"/>
        <w:rPr>
          <w:sz w:val="22"/>
          <w:szCs w:val="22"/>
        </w:rPr>
      </w:pPr>
      <w:bookmarkStart w:id="50" w:name="bookmark50"/>
      <w:bookmarkEnd w:id="50"/>
      <w:r>
        <w:rPr>
          <w:b/>
          <w:bCs/>
          <w:i/>
          <w:iCs/>
          <w:sz w:val="22"/>
          <w:szCs w:val="22"/>
          <w:shd w:val="clear" w:color="auto" w:fill="FFFFFF"/>
        </w:rPr>
        <w:t>A.</w:t>
      </w:r>
      <w:r>
        <w:rPr>
          <w:b/>
          <w:bCs/>
          <w:i/>
          <w:iCs/>
          <w:sz w:val="22"/>
          <w:szCs w:val="22"/>
          <w:shd w:val="clear" w:color="auto" w:fill="FFFFFF"/>
        </w:rPr>
        <w:tab/>
      </w:r>
      <w:r>
        <w:rPr>
          <w:b/>
          <w:bCs/>
          <w:i/>
          <w:iCs/>
          <w:sz w:val="22"/>
          <w:szCs w:val="22"/>
        </w:rPr>
        <w:t>Evaluation of Strategic Partnerships</w:t>
      </w:r>
    </w:p>
    <w:p w:rsidR="00956289" w:rsidRDefault="00672879" w:rsidP="00672879">
      <w:pPr>
        <w:pStyle w:val="BodyText"/>
        <w:tabs>
          <w:tab w:val="left" w:pos="720"/>
        </w:tabs>
        <w:spacing w:after="260"/>
        <w:ind w:left="820" w:hanging="820"/>
        <w:jc w:val="both"/>
      </w:pPr>
      <w:bookmarkStart w:id="51" w:name="bookmark51"/>
      <w:bookmarkEnd w:id="51"/>
      <w:r>
        <w:rPr>
          <w:b/>
          <w:bCs/>
        </w:rPr>
        <w:t>8.</w:t>
      </w:r>
      <w:r>
        <w:rPr>
          <w:b/>
          <w:bCs/>
        </w:rPr>
        <w:tab/>
      </w:r>
      <w:r>
        <w:rPr>
          <w:b/>
          <w:bCs/>
        </w:rPr>
        <w:t xml:space="preserve">RECALLS </w:t>
      </w:r>
      <w:r>
        <w:t xml:space="preserve">EX.CL/Dec.942 (XXX) of the 30th Ordinary Session of the Executive Council, 25 - 27 January 2017, Addis Ababa, which DIRECTED the PRC, in </w:t>
      </w:r>
      <w:r>
        <w:t>collaboration with the Commission and the RECs, to hold special sessions within six months to allow for an in-depth discussion and analysis of all aspects of Strategic Partnership in order to formulate appropriate proposals and recommendations;</w:t>
      </w:r>
    </w:p>
    <w:p w:rsidR="00956289" w:rsidRDefault="00672879" w:rsidP="00672879">
      <w:pPr>
        <w:pStyle w:val="BodyText"/>
        <w:tabs>
          <w:tab w:val="left" w:pos="720"/>
        </w:tabs>
        <w:spacing w:after="300" w:line="233" w:lineRule="auto"/>
        <w:ind w:left="820" w:hanging="820"/>
        <w:jc w:val="both"/>
      </w:pPr>
      <w:bookmarkStart w:id="52" w:name="bookmark52"/>
      <w:bookmarkEnd w:id="52"/>
      <w:r>
        <w:rPr>
          <w:b/>
          <w:bCs/>
        </w:rPr>
        <w:t>9.</w:t>
      </w:r>
      <w:r>
        <w:rPr>
          <w:b/>
          <w:bCs/>
        </w:rPr>
        <w:tab/>
      </w:r>
      <w:r>
        <w:rPr>
          <w:b/>
          <w:bCs/>
        </w:rPr>
        <w:t xml:space="preserve">MANDATES </w:t>
      </w:r>
      <w:r>
        <w:t>th</w:t>
      </w:r>
      <w:r>
        <w:t>e Commission, in collaboration with the PRC, to undertake an in- depth evaluation of all partnerships and submit concrete recommendations in July 2018;</w:t>
      </w:r>
    </w:p>
    <w:p w:rsidR="00956289" w:rsidRDefault="00672879" w:rsidP="00672879">
      <w:pPr>
        <w:pStyle w:val="BodyText"/>
        <w:tabs>
          <w:tab w:val="left" w:pos="1958"/>
        </w:tabs>
        <w:spacing w:after="260" w:line="257" w:lineRule="auto"/>
        <w:ind w:left="1380"/>
        <w:rPr>
          <w:sz w:val="22"/>
          <w:szCs w:val="22"/>
        </w:rPr>
      </w:pPr>
      <w:bookmarkStart w:id="53" w:name="bookmark53"/>
      <w:bookmarkEnd w:id="53"/>
      <w:r>
        <w:rPr>
          <w:b/>
          <w:bCs/>
          <w:i/>
          <w:iCs/>
          <w:sz w:val="22"/>
          <w:szCs w:val="22"/>
          <w:shd w:val="clear" w:color="auto" w:fill="FFFFFF"/>
        </w:rPr>
        <w:t>B.</w:t>
      </w:r>
      <w:r>
        <w:rPr>
          <w:b/>
          <w:bCs/>
          <w:i/>
          <w:iCs/>
          <w:sz w:val="22"/>
          <w:szCs w:val="22"/>
          <w:shd w:val="clear" w:color="auto" w:fill="FFFFFF"/>
        </w:rPr>
        <w:tab/>
      </w:r>
      <w:r>
        <w:rPr>
          <w:b/>
          <w:bCs/>
          <w:i/>
          <w:iCs/>
          <w:sz w:val="22"/>
          <w:szCs w:val="22"/>
        </w:rPr>
        <w:t>Tokyo International Conference on African Development (TICAD)</w:t>
      </w:r>
    </w:p>
    <w:p w:rsidR="00956289" w:rsidRDefault="00672879" w:rsidP="00672879">
      <w:pPr>
        <w:pStyle w:val="BodyText"/>
        <w:tabs>
          <w:tab w:val="left" w:pos="720"/>
        </w:tabs>
        <w:spacing w:after="260" w:line="230" w:lineRule="auto"/>
        <w:ind w:left="820" w:hanging="820"/>
        <w:jc w:val="both"/>
      </w:pPr>
      <w:bookmarkStart w:id="54" w:name="bookmark54"/>
      <w:bookmarkEnd w:id="54"/>
      <w:r>
        <w:rPr>
          <w:b/>
          <w:bCs/>
        </w:rPr>
        <w:t>10.</w:t>
      </w:r>
      <w:r>
        <w:rPr>
          <w:b/>
          <w:bCs/>
        </w:rPr>
        <w:tab/>
      </w:r>
      <w:r>
        <w:rPr>
          <w:b/>
          <w:bCs/>
        </w:rPr>
        <w:t xml:space="preserve">ENDORSES </w:t>
      </w:r>
      <w:r>
        <w:t xml:space="preserve">the date of 23-25 August 2017 </w:t>
      </w:r>
      <w:r>
        <w:t>for the holding of the TICAD VI Ministerial Follow up Meeting, in Maputo, Mozambique;</w:t>
      </w:r>
    </w:p>
    <w:p w:rsidR="00956289" w:rsidRDefault="00672879" w:rsidP="00672879">
      <w:pPr>
        <w:pStyle w:val="BodyText"/>
        <w:tabs>
          <w:tab w:val="left" w:pos="720"/>
        </w:tabs>
        <w:spacing w:after="260" w:line="233" w:lineRule="auto"/>
        <w:ind w:left="820" w:hanging="820"/>
        <w:jc w:val="both"/>
      </w:pPr>
      <w:bookmarkStart w:id="55" w:name="bookmark55"/>
      <w:bookmarkEnd w:id="55"/>
      <w:r>
        <w:rPr>
          <w:b/>
          <w:bCs/>
        </w:rPr>
        <w:t>11.</w:t>
      </w:r>
      <w:r>
        <w:rPr>
          <w:b/>
          <w:bCs/>
        </w:rPr>
        <w:tab/>
      </w:r>
      <w:r>
        <w:rPr>
          <w:b/>
          <w:bCs/>
        </w:rPr>
        <w:t xml:space="preserve">ALSO ENDORSES </w:t>
      </w:r>
      <w:r>
        <w:t>the offer made by Burkina Faso to host the Public-Private Sector Forum within the framework of TICAD;</w:t>
      </w:r>
    </w:p>
    <w:p w:rsidR="00956289" w:rsidRDefault="00672879" w:rsidP="00672879">
      <w:pPr>
        <w:pStyle w:val="BodyText"/>
        <w:tabs>
          <w:tab w:val="left" w:pos="1822"/>
        </w:tabs>
        <w:spacing w:after="260" w:line="259" w:lineRule="auto"/>
        <w:ind w:left="1280"/>
        <w:jc w:val="both"/>
        <w:rPr>
          <w:sz w:val="22"/>
          <w:szCs w:val="22"/>
        </w:rPr>
      </w:pPr>
      <w:bookmarkStart w:id="56" w:name="bookmark56"/>
      <w:bookmarkEnd w:id="56"/>
      <w:r>
        <w:rPr>
          <w:b/>
          <w:bCs/>
          <w:i/>
          <w:iCs/>
          <w:sz w:val="22"/>
          <w:szCs w:val="22"/>
          <w:shd w:val="clear" w:color="auto" w:fill="FFFFFF"/>
        </w:rPr>
        <w:t>C.</w:t>
      </w:r>
      <w:r>
        <w:rPr>
          <w:b/>
          <w:bCs/>
          <w:i/>
          <w:iCs/>
          <w:sz w:val="22"/>
          <w:szCs w:val="22"/>
          <w:shd w:val="clear" w:color="auto" w:fill="FFFFFF"/>
        </w:rPr>
        <w:tab/>
      </w:r>
      <w:r>
        <w:rPr>
          <w:b/>
          <w:bCs/>
          <w:i/>
          <w:iCs/>
          <w:sz w:val="22"/>
          <w:szCs w:val="22"/>
        </w:rPr>
        <w:t>AU - EU Partnership</w:t>
      </w:r>
    </w:p>
    <w:p w:rsidR="00956289" w:rsidRDefault="00672879" w:rsidP="00672879">
      <w:pPr>
        <w:pStyle w:val="Heading10"/>
        <w:keepNext/>
        <w:keepLines/>
        <w:tabs>
          <w:tab w:val="left" w:pos="717"/>
        </w:tabs>
        <w:spacing w:after="260"/>
        <w:jc w:val="both"/>
      </w:pPr>
      <w:bookmarkStart w:id="57" w:name="bookmark59"/>
      <w:bookmarkStart w:id="58" w:name="bookmark57"/>
      <w:bookmarkStart w:id="59" w:name="bookmark58"/>
      <w:bookmarkStart w:id="60" w:name="bookmark60"/>
      <w:bookmarkEnd w:id="57"/>
      <w:r>
        <w:t>12.</w:t>
      </w:r>
      <w:r>
        <w:tab/>
      </w:r>
      <w:r>
        <w:t>APPROVES:</w:t>
      </w:r>
      <w:bookmarkEnd w:id="58"/>
      <w:bookmarkEnd w:id="59"/>
      <w:bookmarkEnd w:id="60"/>
    </w:p>
    <w:p w:rsidR="00956289" w:rsidRDefault="00672879" w:rsidP="00672879">
      <w:pPr>
        <w:pStyle w:val="BodyText"/>
        <w:tabs>
          <w:tab w:val="left" w:pos="1362"/>
        </w:tabs>
        <w:spacing w:after="0"/>
        <w:ind w:left="1360" w:hanging="540"/>
        <w:jc w:val="both"/>
      </w:pPr>
      <w:bookmarkStart w:id="61" w:name="bookmark61"/>
      <w:bookmarkEnd w:id="61"/>
      <w:r>
        <w:t>i)</w:t>
      </w:r>
      <w:r>
        <w:tab/>
      </w:r>
      <w:r>
        <w:t>the Theme of the 5</w:t>
      </w:r>
      <w:r>
        <w:rPr>
          <w:vertAlign w:val="superscript"/>
        </w:rPr>
        <w:t>th</w:t>
      </w:r>
      <w:r>
        <w:t xml:space="preserve"> AU </w:t>
      </w:r>
      <w:r>
        <w:t>- EU Summit namely: “Investment in Youth for Accelerated Inclusive growth and sustainable development”;</w:t>
      </w:r>
    </w:p>
    <w:p w:rsidR="00956289" w:rsidRDefault="00672879" w:rsidP="00672879">
      <w:pPr>
        <w:pStyle w:val="BodyText"/>
        <w:tabs>
          <w:tab w:val="left" w:pos="1362"/>
        </w:tabs>
        <w:spacing w:after="0"/>
        <w:ind w:left="1360" w:hanging="540"/>
        <w:jc w:val="both"/>
      </w:pPr>
      <w:bookmarkStart w:id="62" w:name="bookmark62"/>
      <w:bookmarkEnd w:id="62"/>
      <w:r>
        <w:t>ii)</w:t>
      </w:r>
      <w:r>
        <w:tab/>
      </w:r>
      <w:r>
        <w:t>the nomenclature for the partnership with the European Union to be: “African Union (AU) - European Union (EU) Partnership” instead of “Africa - EU partn</w:t>
      </w:r>
      <w:r>
        <w:t>ership”</w:t>
      </w:r>
      <w:r>
        <w:rPr>
          <w:vertAlign w:val="superscript"/>
        </w:rPr>
        <w:footnoteReference w:id="1"/>
      </w:r>
      <w:r>
        <w:t>;</w:t>
      </w:r>
    </w:p>
    <w:p w:rsidR="00956289" w:rsidRDefault="00672879" w:rsidP="00672879">
      <w:pPr>
        <w:pStyle w:val="BodyText"/>
        <w:tabs>
          <w:tab w:val="left" w:pos="1362"/>
        </w:tabs>
        <w:spacing w:after="260"/>
        <w:ind w:left="1360" w:hanging="540"/>
        <w:jc w:val="both"/>
      </w:pPr>
      <w:bookmarkStart w:id="63" w:name="bookmark63"/>
      <w:bookmarkEnd w:id="63"/>
      <w:r>
        <w:t>iii)</w:t>
      </w:r>
      <w:r>
        <w:tab/>
      </w:r>
      <w:r>
        <w:t>the holding of a Senior Officials and a Ministerial meeting that will precede the 5</w:t>
      </w:r>
      <w:r>
        <w:rPr>
          <w:vertAlign w:val="superscript"/>
        </w:rPr>
        <w:t>th</w:t>
      </w:r>
      <w:r>
        <w:t xml:space="preserve"> AU-EU Summit to be held on 29 - 30 November 2017 in Abidjan, Cote d’Ivoire and request the PRC in close collaboration with the Commission to agree with the Eur</w:t>
      </w:r>
      <w:r>
        <w:t>opean side on the final dates for the Senior Officials and Ministerial meetings to be communicated in due course;</w:t>
      </w:r>
    </w:p>
    <w:p w:rsidR="00956289" w:rsidRDefault="00672879" w:rsidP="00672879">
      <w:pPr>
        <w:pStyle w:val="BodyText"/>
        <w:tabs>
          <w:tab w:val="left" w:pos="717"/>
        </w:tabs>
        <w:spacing w:after="260" w:line="233" w:lineRule="auto"/>
        <w:ind w:left="820" w:hanging="820"/>
        <w:jc w:val="both"/>
      </w:pPr>
      <w:bookmarkStart w:id="64" w:name="bookmark64"/>
      <w:bookmarkEnd w:id="64"/>
      <w:r>
        <w:rPr>
          <w:b/>
          <w:bCs/>
        </w:rPr>
        <w:t>13.</w:t>
      </w:r>
      <w:r>
        <w:rPr>
          <w:b/>
          <w:bCs/>
        </w:rPr>
        <w:tab/>
      </w:r>
      <w:r>
        <w:rPr>
          <w:b/>
          <w:bCs/>
        </w:rPr>
        <w:t xml:space="preserve">REQUESTS </w:t>
      </w:r>
      <w:r>
        <w:t>the PRC in close collaboration with the Commission to prepare and negotiate with the European side, the outcome documents of the 5</w:t>
      </w:r>
      <w:r>
        <w:rPr>
          <w:vertAlign w:val="superscript"/>
        </w:rPr>
        <w:t>th</w:t>
      </w:r>
      <w:r>
        <w:t xml:space="preserve"> AU-EU Summit;</w:t>
      </w:r>
    </w:p>
    <w:p w:rsidR="00956289" w:rsidRDefault="00672879" w:rsidP="00672879">
      <w:pPr>
        <w:pStyle w:val="BodyText"/>
        <w:tabs>
          <w:tab w:val="left" w:pos="717"/>
        </w:tabs>
        <w:spacing w:after="260"/>
        <w:ind w:left="820" w:hanging="820"/>
        <w:jc w:val="both"/>
      </w:pPr>
      <w:bookmarkStart w:id="65" w:name="bookmark65"/>
      <w:bookmarkEnd w:id="65"/>
      <w:r>
        <w:rPr>
          <w:b/>
          <w:bCs/>
        </w:rPr>
        <w:t>14.</w:t>
      </w:r>
      <w:r>
        <w:rPr>
          <w:b/>
          <w:bCs/>
        </w:rPr>
        <w:tab/>
      </w:r>
      <w:r>
        <w:rPr>
          <w:b/>
          <w:bCs/>
        </w:rPr>
        <w:t xml:space="preserve">RECALLS </w:t>
      </w:r>
      <w:r>
        <w:t>its Decision EX.CL/Dec 942(XXX) taken during the Thirtieth Ordinary Session held on 25 - 27 January 2017 on the future of the African, Caribbean and Pacific Group of States (ACP) and the prospect of ACP - European Union Relations f</w:t>
      </w:r>
      <w:r>
        <w:t xml:space="preserve">or the period Post - 2020 (Cotonou Agreement) and </w:t>
      </w:r>
      <w:r>
        <w:rPr>
          <w:b/>
          <w:bCs/>
        </w:rPr>
        <w:t xml:space="preserve">REQUESTS </w:t>
      </w:r>
      <w:r>
        <w:t>the PRC in collaboration with the Commission, the African Group of Ambassadors in Brussels, the RECs and African experts to develop an African Common Position on Post - 2020 Cotonou Agreement for c</w:t>
      </w:r>
      <w:r>
        <w:t>onsideration by the Executive Council prior to the Ministerial meeting that will precede the AU - EU Summit in Abidjan, Cote d’Ivoire, bearing in mind the obligations that some Member States have with the EU;</w:t>
      </w:r>
    </w:p>
    <w:p w:rsidR="00956289" w:rsidRDefault="00672879" w:rsidP="00672879">
      <w:pPr>
        <w:pStyle w:val="BodyText"/>
        <w:tabs>
          <w:tab w:val="left" w:pos="717"/>
        </w:tabs>
        <w:spacing w:after="260"/>
        <w:ind w:left="820" w:hanging="820"/>
        <w:jc w:val="both"/>
      </w:pPr>
      <w:bookmarkStart w:id="66" w:name="bookmark66"/>
      <w:bookmarkEnd w:id="66"/>
      <w:r>
        <w:rPr>
          <w:b/>
          <w:bCs/>
        </w:rPr>
        <w:t>15.</w:t>
      </w:r>
      <w:r>
        <w:rPr>
          <w:b/>
          <w:bCs/>
        </w:rPr>
        <w:tab/>
      </w:r>
      <w:r>
        <w:t xml:space="preserve">In this regard, </w:t>
      </w:r>
      <w:r>
        <w:rPr>
          <w:b/>
          <w:bCs/>
        </w:rPr>
        <w:t xml:space="preserve">MANDATES </w:t>
      </w:r>
      <w:r>
        <w:t>the PRC to convene a r</w:t>
      </w:r>
      <w:r>
        <w:t>etreat to jointly conclude the elaboration of a draft Declaration and other documents for the 2017 AU-EU Summit in cooperation with the Commission and the Africa Group in Brussels and submit to an Extraordinary Session of Council in August/September 2017 t</w:t>
      </w:r>
      <w:r>
        <w:t>o consider the same documents and adopt the African Common Position;</w:t>
      </w:r>
    </w:p>
    <w:p w:rsidR="00956289" w:rsidRDefault="00672879" w:rsidP="00672879">
      <w:pPr>
        <w:pStyle w:val="BodyText"/>
        <w:tabs>
          <w:tab w:val="left" w:pos="717"/>
        </w:tabs>
        <w:spacing w:after="260"/>
        <w:ind w:left="820" w:hanging="820"/>
        <w:jc w:val="both"/>
      </w:pPr>
      <w:bookmarkStart w:id="67" w:name="bookmark67"/>
      <w:bookmarkEnd w:id="67"/>
      <w:r>
        <w:rPr>
          <w:b/>
          <w:bCs/>
        </w:rPr>
        <w:t>16.</w:t>
      </w:r>
      <w:r>
        <w:rPr>
          <w:b/>
          <w:bCs/>
        </w:rPr>
        <w:tab/>
      </w:r>
      <w:r>
        <w:rPr>
          <w:b/>
          <w:bCs/>
        </w:rPr>
        <w:t xml:space="preserve">RECALLS </w:t>
      </w:r>
      <w:r>
        <w:t xml:space="preserve">the necessity to respect the principle of non-interference in the internal affairs of States in accordance with the United Nations Charter and the Constitutive Act of the African </w:t>
      </w:r>
      <w:r>
        <w:t xml:space="preserve">Union; and </w:t>
      </w:r>
      <w:r>
        <w:rPr>
          <w:b/>
          <w:bCs/>
        </w:rPr>
        <w:t xml:space="preserve">DENOUNCES </w:t>
      </w:r>
      <w:r>
        <w:t>the unjust unilateral sanctions against States and citizens of AU Member States;</w:t>
      </w:r>
    </w:p>
    <w:p w:rsidR="00956289" w:rsidRDefault="00672879" w:rsidP="00672879">
      <w:pPr>
        <w:pStyle w:val="BodyText"/>
        <w:tabs>
          <w:tab w:val="left" w:pos="1951"/>
        </w:tabs>
        <w:ind w:left="1940" w:hanging="560"/>
        <w:jc w:val="both"/>
      </w:pPr>
      <w:bookmarkStart w:id="68" w:name="bookmark68"/>
      <w:bookmarkEnd w:id="68"/>
      <w:r>
        <w:rPr>
          <w:b/>
          <w:bCs/>
          <w:i/>
          <w:iCs/>
          <w:sz w:val="22"/>
          <w:szCs w:val="22"/>
          <w:shd w:val="clear" w:color="auto" w:fill="FFFFFF"/>
        </w:rPr>
        <w:t>D.</w:t>
      </w:r>
      <w:r>
        <w:rPr>
          <w:b/>
          <w:bCs/>
          <w:i/>
          <w:iCs/>
          <w:sz w:val="22"/>
          <w:szCs w:val="22"/>
          <w:shd w:val="clear" w:color="auto" w:fill="FFFFFF"/>
        </w:rPr>
        <w:tab/>
      </w:r>
      <w:r>
        <w:rPr>
          <w:b/>
          <w:bCs/>
          <w:i/>
          <w:iCs/>
          <w:sz w:val="22"/>
          <w:szCs w:val="22"/>
        </w:rPr>
        <w:t xml:space="preserve">Strengthening of the Institutional Capacity of the Commission </w:t>
      </w:r>
      <w:r>
        <w:t>(Partnerships Management and Coordination Division)</w:t>
      </w:r>
    </w:p>
    <w:p w:rsidR="00956289" w:rsidRDefault="00672879" w:rsidP="00672879">
      <w:pPr>
        <w:pStyle w:val="BodyText"/>
        <w:tabs>
          <w:tab w:val="left" w:pos="724"/>
        </w:tabs>
        <w:ind w:left="800" w:hanging="800"/>
        <w:jc w:val="both"/>
      </w:pPr>
      <w:bookmarkStart w:id="69" w:name="bookmark69"/>
      <w:bookmarkEnd w:id="69"/>
      <w:r>
        <w:rPr>
          <w:b/>
          <w:bCs/>
        </w:rPr>
        <w:t>17.</w:t>
      </w:r>
      <w:r>
        <w:rPr>
          <w:b/>
          <w:bCs/>
        </w:rPr>
        <w:tab/>
      </w:r>
      <w:r>
        <w:rPr>
          <w:b/>
          <w:bCs/>
        </w:rPr>
        <w:t xml:space="preserve">REAFFIRMS </w:t>
      </w:r>
      <w:r>
        <w:t>its Decision, EX.CL/Dec.942 (X</w:t>
      </w:r>
      <w:r>
        <w:t xml:space="preserve">XX), Paragraph 2.vi, which called for the strengthening of the institutional capacity of the Commission (Partnerships Management and Coordination Division), and </w:t>
      </w:r>
      <w:r>
        <w:rPr>
          <w:b/>
          <w:bCs/>
        </w:rPr>
        <w:t xml:space="preserve">REQUESTS </w:t>
      </w:r>
      <w:r>
        <w:t>the PRC in collaboration with the Commission to expedite action in this regard;</w:t>
      </w:r>
    </w:p>
    <w:p w:rsidR="00956289" w:rsidRDefault="00672879" w:rsidP="00672879">
      <w:pPr>
        <w:pStyle w:val="BodyText"/>
        <w:tabs>
          <w:tab w:val="left" w:pos="1365"/>
        </w:tabs>
        <w:spacing w:line="221" w:lineRule="auto"/>
        <w:ind w:left="1380" w:hanging="840"/>
        <w:jc w:val="both"/>
      </w:pPr>
      <w:bookmarkStart w:id="70" w:name="bookmark70"/>
      <w:bookmarkEnd w:id="70"/>
      <w:r>
        <w:rPr>
          <w:b/>
          <w:bCs/>
          <w:shd w:val="clear" w:color="auto" w:fill="FFFFFF"/>
        </w:rPr>
        <w:t>III.</w:t>
      </w:r>
      <w:r>
        <w:rPr>
          <w:b/>
          <w:bCs/>
          <w:shd w:val="clear" w:color="auto" w:fill="FFFFFF"/>
        </w:rPr>
        <w:tab/>
      </w:r>
      <w:r>
        <w:rPr>
          <w:b/>
          <w:bCs/>
        </w:rPr>
        <w:t>ON HEA</w:t>
      </w:r>
      <w:r>
        <w:rPr>
          <w:b/>
          <w:bCs/>
        </w:rPr>
        <w:t>DQUARTERS AND HOST AGREEMENTS - Doc. EX.CL/1016(XXXI)</w:t>
      </w:r>
    </w:p>
    <w:p w:rsidR="00956289" w:rsidRDefault="00672879" w:rsidP="00672879">
      <w:pPr>
        <w:pStyle w:val="Heading10"/>
        <w:keepNext/>
        <w:keepLines/>
        <w:tabs>
          <w:tab w:val="left" w:pos="724"/>
        </w:tabs>
        <w:spacing w:after="280"/>
        <w:jc w:val="both"/>
      </w:pPr>
      <w:bookmarkStart w:id="71" w:name="bookmark73"/>
      <w:bookmarkStart w:id="72" w:name="bookmark71"/>
      <w:bookmarkStart w:id="73" w:name="bookmark72"/>
      <w:bookmarkStart w:id="74" w:name="bookmark74"/>
      <w:bookmarkEnd w:id="71"/>
      <w:r>
        <w:t>18.</w:t>
      </w:r>
      <w:r>
        <w:tab/>
      </w:r>
      <w:r>
        <w:t>COMMENDS:</w:t>
      </w:r>
      <w:bookmarkEnd w:id="72"/>
      <w:bookmarkEnd w:id="73"/>
      <w:bookmarkEnd w:id="74"/>
    </w:p>
    <w:p w:rsidR="00956289" w:rsidRDefault="00672879" w:rsidP="00672879">
      <w:pPr>
        <w:pStyle w:val="BodyText"/>
        <w:tabs>
          <w:tab w:val="left" w:pos="1365"/>
        </w:tabs>
        <w:spacing w:line="233" w:lineRule="auto"/>
        <w:ind w:left="1380" w:hanging="560"/>
        <w:jc w:val="both"/>
      </w:pPr>
      <w:bookmarkStart w:id="75" w:name="bookmark75"/>
      <w:bookmarkEnd w:id="75"/>
      <w:r>
        <w:t>i)</w:t>
      </w:r>
      <w:r>
        <w:tab/>
      </w:r>
      <w:r>
        <w:t>the spirit of fraternity exerted in addressing matters between the Host Country and the Commission;</w:t>
      </w:r>
    </w:p>
    <w:p w:rsidR="00956289" w:rsidRDefault="00672879" w:rsidP="00672879">
      <w:pPr>
        <w:pStyle w:val="BodyText"/>
        <w:tabs>
          <w:tab w:val="left" w:pos="1365"/>
        </w:tabs>
        <w:spacing w:line="230" w:lineRule="auto"/>
        <w:ind w:left="1380" w:hanging="560"/>
        <w:jc w:val="both"/>
      </w:pPr>
      <w:bookmarkStart w:id="76" w:name="bookmark76"/>
      <w:bookmarkEnd w:id="76"/>
      <w:r>
        <w:t>ii)</w:t>
      </w:r>
      <w:r>
        <w:tab/>
      </w:r>
      <w:r>
        <w:t xml:space="preserve">the PRC Sub-Committee on Headquarters and Host Agreements for its guidance in </w:t>
      </w:r>
      <w:r>
        <w:t>fulfilment of the Headquarters Agreement.</w:t>
      </w:r>
    </w:p>
    <w:p w:rsidR="00956289" w:rsidRDefault="00672879" w:rsidP="00672879">
      <w:pPr>
        <w:pStyle w:val="BodyText"/>
        <w:tabs>
          <w:tab w:val="left" w:pos="724"/>
        </w:tabs>
        <w:spacing w:line="218" w:lineRule="auto"/>
        <w:ind w:left="800" w:hanging="800"/>
        <w:jc w:val="both"/>
      </w:pPr>
      <w:bookmarkStart w:id="77" w:name="bookmark77"/>
      <w:bookmarkEnd w:id="77"/>
      <w:r>
        <w:rPr>
          <w:b/>
          <w:bCs/>
        </w:rPr>
        <w:t>19.</w:t>
      </w:r>
      <w:r>
        <w:rPr>
          <w:b/>
          <w:bCs/>
        </w:rPr>
        <w:tab/>
      </w:r>
      <w:r>
        <w:rPr>
          <w:b/>
          <w:bCs/>
        </w:rPr>
        <w:t xml:space="preserve">NOTES WITH CONCERN </w:t>
      </w:r>
      <w:r>
        <w:t>the numerous outstanding matters in the matrix of pending issues;</w:t>
      </w:r>
    </w:p>
    <w:p w:rsidR="00956289" w:rsidRDefault="00672879" w:rsidP="00672879">
      <w:pPr>
        <w:pStyle w:val="BodyText"/>
        <w:tabs>
          <w:tab w:val="left" w:pos="724"/>
        </w:tabs>
        <w:ind w:left="800" w:hanging="800"/>
        <w:jc w:val="both"/>
      </w:pPr>
      <w:bookmarkStart w:id="78" w:name="bookmark78"/>
      <w:bookmarkEnd w:id="78"/>
      <w:r>
        <w:rPr>
          <w:b/>
          <w:bCs/>
        </w:rPr>
        <w:t>20.</w:t>
      </w:r>
      <w:r>
        <w:rPr>
          <w:b/>
          <w:bCs/>
        </w:rPr>
        <w:tab/>
      </w:r>
      <w:r>
        <w:rPr>
          <w:b/>
          <w:bCs/>
        </w:rPr>
        <w:t xml:space="preserve">REQUESTS </w:t>
      </w:r>
      <w:r>
        <w:t xml:space="preserve">the Host Country of the AU Headquarters and the Commission to accelerate the resolution of all pending matters based on </w:t>
      </w:r>
      <w:r>
        <w:t>timelines set by the PRC Sub-Committee on Headquarters and Host Agreements;</w:t>
      </w:r>
    </w:p>
    <w:p w:rsidR="00956289" w:rsidRDefault="00672879" w:rsidP="00672879">
      <w:pPr>
        <w:pStyle w:val="BodyText"/>
        <w:tabs>
          <w:tab w:val="left" w:pos="724"/>
        </w:tabs>
        <w:spacing w:line="233" w:lineRule="auto"/>
        <w:ind w:left="800" w:hanging="800"/>
        <w:jc w:val="both"/>
      </w:pPr>
      <w:bookmarkStart w:id="79" w:name="bookmark79"/>
      <w:bookmarkEnd w:id="79"/>
      <w:r>
        <w:rPr>
          <w:b/>
          <w:bCs/>
        </w:rPr>
        <w:t>21.</w:t>
      </w:r>
      <w:r>
        <w:rPr>
          <w:b/>
          <w:bCs/>
        </w:rPr>
        <w:tab/>
      </w:r>
      <w:r>
        <w:rPr>
          <w:b/>
          <w:bCs/>
        </w:rPr>
        <w:t xml:space="preserve">REITERATES </w:t>
      </w:r>
      <w:r>
        <w:t>the need for the Host Country of the AU Headquarters to comply with all applicable international rules on immunities and privileges and the AU Headquarters agreement;</w:t>
      </w:r>
    </w:p>
    <w:p w:rsidR="00956289" w:rsidRDefault="00672879" w:rsidP="00672879">
      <w:pPr>
        <w:pStyle w:val="BodyText"/>
        <w:tabs>
          <w:tab w:val="left" w:pos="724"/>
        </w:tabs>
        <w:ind w:left="800" w:hanging="800"/>
        <w:jc w:val="both"/>
      </w:pPr>
      <w:bookmarkStart w:id="80" w:name="bookmark80"/>
      <w:bookmarkEnd w:id="80"/>
      <w:r>
        <w:rPr>
          <w:b/>
          <w:bCs/>
        </w:rPr>
        <w:t>22.</w:t>
      </w:r>
      <w:r>
        <w:rPr>
          <w:b/>
          <w:bCs/>
        </w:rPr>
        <w:tab/>
      </w:r>
      <w:r>
        <w:rPr>
          <w:b/>
          <w:bCs/>
        </w:rPr>
        <w:t>RE</w:t>
      </w:r>
      <w:r>
        <w:rPr>
          <w:b/>
          <w:bCs/>
        </w:rPr>
        <w:t xml:space="preserve">QUESTS </w:t>
      </w:r>
      <w:r>
        <w:t xml:space="preserve">timely communication to all Permanent Missions of AU Member States and Commission on changes to domestic regulations, rules and policies that affect the privileges immunities and facilities enjoyed by officials of Member States and staff members of </w:t>
      </w:r>
      <w:r>
        <w:t>the Commission;</w:t>
      </w:r>
    </w:p>
    <w:p w:rsidR="00956289" w:rsidRDefault="00672879" w:rsidP="00672879">
      <w:pPr>
        <w:pStyle w:val="BodyText"/>
        <w:tabs>
          <w:tab w:val="left" w:pos="724"/>
        </w:tabs>
        <w:ind w:left="800" w:hanging="800"/>
        <w:jc w:val="both"/>
      </w:pPr>
      <w:bookmarkStart w:id="81" w:name="bookmark81"/>
      <w:bookmarkEnd w:id="81"/>
      <w:r>
        <w:rPr>
          <w:b/>
          <w:bCs/>
        </w:rPr>
        <w:t>23.</w:t>
      </w:r>
      <w:r>
        <w:rPr>
          <w:b/>
          <w:bCs/>
        </w:rPr>
        <w:tab/>
      </w:r>
      <w:r>
        <w:rPr>
          <w:b/>
          <w:bCs/>
        </w:rPr>
        <w:t xml:space="preserve">FURTHER REQUESTS </w:t>
      </w:r>
      <w:r>
        <w:t>PRC Sub-Committee on Headquarters and Host Agreements and the Commission to undertake a review of the Headquarters Agreement with the view to enhancing its implementation;</w:t>
      </w:r>
    </w:p>
    <w:p w:rsidR="00956289" w:rsidRDefault="00672879" w:rsidP="00672879">
      <w:pPr>
        <w:pStyle w:val="BodyText"/>
        <w:tabs>
          <w:tab w:val="left" w:pos="724"/>
        </w:tabs>
        <w:spacing w:after="260"/>
        <w:ind w:left="800" w:hanging="800"/>
        <w:jc w:val="both"/>
      </w:pPr>
      <w:bookmarkStart w:id="82" w:name="bookmark82"/>
      <w:bookmarkEnd w:id="82"/>
      <w:r>
        <w:rPr>
          <w:b/>
          <w:bCs/>
        </w:rPr>
        <w:t>24.</w:t>
      </w:r>
      <w:r>
        <w:rPr>
          <w:b/>
          <w:bCs/>
        </w:rPr>
        <w:tab/>
      </w:r>
      <w:r>
        <w:rPr>
          <w:b/>
          <w:bCs/>
        </w:rPr>
        <w:t xml:space="preserve">TAKES NOTE </w:t>
      </w:r>
      <w:r>
        <w:t>of the request of the Host Country of th</w:t>
      </w:r>
      <w:r>
        <w:t xml:space="preserve">e Headquarters to be a permanent member of the Sub-Committee on Headquarters and Host Agreements as well as to have a Liaison Office within the premises of the AU Headquarters and </w:t>
      </w:r>
      <w:r>
        <w:rPr>
          <w:b/>
          <w:bCs/>
        </w:rPr>
        <w:t xml:space="preserve">REQUESTS </w:t>
      </w:r>
      <w:r>
        <w:t>the PRC Sub-Committee on Headquarters and Host Agreements to consid</w:t>
      </w:r>
      <w:r>
        <w:t>er the request and make its recommendations for consideration by the PRC;</w:t>
      </w:r>
    </w:p>
    <w:p w:rsidR="00956289" w:rsidRDefault="00672879" w:rsidP="00672879">
      <w:pPr>
        <w:pStyle w:val="BodyText"/>
        <w:tabs>
          <w:tab w:val="left" w:pos="726"/>
        </w:tabs>
        <w:spacing w:after="260"/>
        <w:jc w:val="both"/>
      </w:pPr>
      <w:bookmarkStart w:id="83" w:name="bookmark83"/>
      <w:bookmarkEnd w:id="83"/>
      <w:r>
        <w:rPr>
          <w:b/>
          <w:bCs/>
        </w:rPr>
        <w:t>25.</w:t>
      </w:r>
      <w:r>
        <w:rPr>
          <w:b/>
          <w:bCs/>
        </w:rPr>
        <w:tab/>
      </w:r>
      <w:r>
        <w:rPr>
          <w:b/>
          <w:bCs/>
        </w:rPr>
        <w:t xml:space="preserve">REQUESTS </w:t>
      </w:r>
      <w:r>
        <w:t>the Commission</w:t>
      </w:r>
    </w:p>
    <w:p w:rsidR="00956289" w:rsidRDefault="00672879" w:rsidP="00672879">
      <w:pPr>
        <w:pStyle w:val="BodyText"/>
        <w:tabs>
          <w:tab w:val="left" w:pos="1503"/>
        </w:tabs>
        <w:spacing w:after="260"/>
        <w:ind w:left="1540" w:hanging="720"/>
        <w:jc w:val="both"/>
      </w:pPr>
      <w:bookmarkStart w:id="84" w:name="bookmark84"/>
      <w:bookmarkEnd w:id="84"/>
      <w:r>
        <w:t>i)</w:t>
      </w:r>
      <w:r>
        <w:tab/>
      </w:r>
      <w:r>
        <w:t xml:space="preserve">to bring to the attention of the PRC Subcommittee on Headquarters and Host Agreements other implementation issues related to Organs, Institutions and Offices </w:t>
      </w:r>
      <w:r>
        <w:t>outside the Headquarters of the Union;</w:t>
      </w:r>
    </w:p>
    <w:p w:rsidR="00956289" w:rsidRDefault="00672879" w:rsidP="00672879">
      <w:pPr>
        <w:pStyle w:val="BodyText"/>
        <w:tabs>
          <w:tab w:val="left" w:pos="1503"/>
        </w:tabs>
        <w:spacing w:after="260"/>
        <w:ind w:left="1540" w:hanging="720"/>
        <w:jc w:val="both"/>
      </w:pPr>
      <w:bookmarkStart w:id="85" w:name="bookmark85"/>
      <w:bookmarkEnd w:id="85"/>
      <w:r>
        <w:t>ii)</w:t>
      </w:r>
      <w:r>
        <w:tab/>
      </w:r>
      <w:r>
        <w:t>to report on the implementation of this decision during the AU Summit of January 2018.</w:t>
      </w:r>
    </w:p>
    <w:p w:rsidR="00956289" w:rsidRDefault="00672879" w:rsidP="00672879">
      <w:pPr>
        <w:pStyle w:val="Heading10"/>
        <w:keepNext/>
        <w:keepLines/>
        <w:tabs>
          <w:tab w:val="left" w:pos="1503"/>
        </w:tabs>
        <w:spacing w:after="260"/>
        <w:ind w:firstLine="520"/>
        <w:jc w:val="both"/>
      </w:pPr>
      <w:bookmarkStart w:id="86" w:name="bookmark88"/>
      <w:bookmarkStart w:id="87" w:name="bookmark86"/>
      <w:bookmarkStart w:id="88" w:name="bookmark87"/>
      <w:bookmarkStart w:id="89" w:name="bookmark89"/>
      <w:bookmarkEnd w:id="86"/>
      <w:r>
        <w:rPr>
          <w:shd w:val="clear" w:color="auto" w:fill="FFFFFF"/>
        </w:rPr>
        <w:t>IV.</w:t>
      </w:r>
      <w:r>
        <w:rPr>
          <w:shd w:val="clear" w:color="auto" w:fill="FFFFFF"/>
        </w:rPr>
        <w:tab/>
      </w:r>
      <w:r>
        <w:t>ON AUDIT MATTERS - Doc. EX.CL/1016(XXXI)vi</w:t>
      </w:r>
      <w:bookmarkEnd w:id="87"/>
      <w:bookmarkEnd w:id="88"/>
      <w:bookmarkEnd w:id="89"/>
    </w:p>
    <w:p w:rsidR="00956289" w:rsidRDefault="00672879" w:rsidP="00672879">
      <w:pPr>
        <w:pStyle w:val="BodyText"/>
        <w:tabs>
          <w:tab w:val="left" w:pos="726"/>
        </w:tabs>
        <w:spacing w:after="260"/>
        <w:ind w:left="820" w:hanging="820"/>
        <w:jc w:val="both"/>
      </w:pPr>
      <w:bookmarkStart w:id="90" w:name="bookmark90"/>
      <w:bookmarkEnd w:id="90"/>
      <w:r>
        <w:rPr>
          <w:b/>
          <w:bCs/>
        </w:rPr>
        <w:t>26.</w:t>
      </w:r>
      <w:r>
        <w:rPr>
          <w:b/>
          <w:bCs/>
        </w:rPr>
        <w:tab/>
      </w:r>
      <w:r>
        <w:rPr>
          <w:b/>
          <w:bCs/>
        </w:rPr>
        <w:t xml:space="preserve">CALLS UPON </w:t>
      </w:r>
      <w:r>
        <w:t xml:space="preserve">the Commission and AU organs to address the issues raised by the PRC </w:t>
      </w:r>
      <w:r>
        <w:t>Sub-Committee on Audit Matters including the following:</w:t>
      </w:r>
    </w:p>
    <w:p w:rsidR="00956289" w:rsidRDefault="00672879" w:rsidP="00672879">
      <w:pPr>
        <w:pStyle w:val="Heading10"/>
        <w:keepNext/>
        <w:keepLines/>
        <w:tabs>
          <w:tab w:val="left" w:pos="1503"/>
        </w:tabs>
        <w:spacing w:after="260"/>
        <w:ind w:firstLine="820"/>
        <w:jc w:val="both"/>
      </w:pPr>
      <w:bookmarkStart w:id="91" w:name="bookmark93"/>
      <w:bookmarkStart w:id="92" w:name="bookmark91"/>
      <w:bookmarkStart w:id="93" w:name="bookmark92"/>
      <w:bookmarkStart w:id="94" w:name="bookmark94"/>
      <w:bookmarkEnd w:id="91"/>
      <w:r>
        <w:rPr>
          <w:shd w:val="clear" w:color="auto" w:fill="FFFFFF"/>
        </w:rPr>
        <w:t>A.</w:t>
      </w:r>
      <w:r>
        <w:rPr>
          <w:shd w:val="clear" w:color="auto" w:fill="FFFFFF"/>
        </w:rPr>
        <w:tab/>
      </w:r>
      <w:r>
        <w:t>On Commission Budget Performance for the year 2016:</w:t>
      </w:r>
      <w:bookmarkEnd w:id="92"/>
      <w:bookmarkEnd w:id="93"/>
      <w:bookmarkEnd w:id="94"/>
    </w:p>
    <w:p w:rsidR="00956289" w:rsidRDefault="00672879" w:rsidP="00672879">
      <w:pPr>
        <w:pStyle w:val="BodyText"/>
        <w:tabs>
          <w:tab w:val="left" w:pos="726"/>
        </w:tabs>
        <w:spacing w:after="260"/>
        <w:jc w:val="both"/>
      </w:pPr>
      <w:bookmarkStart w:id="95" w:name="bookmark95"/>
      <w:bookmarkEnd w:id="95"/>
      <w:r>
        <w:rPr>
          <w:b/>
          <w:bCs/>
        </w:rPr>
        <w:t>27.</w:t>
      </w:r>
      <w:r>
        <w:rPr>
          <w:b/>
          <w:bCs/>
        </w:rPr>
        <w:tab/>
      </w:r>
      <w:r>
        <w:rPr>
          <w:b/>
          <w:bCs/>
        </w:rPr>
        <w:t xml:space="preserve">REQUESTS </w:t>
      </w:r>
      <w:r>
        <w:t>the Commission to:</w:t>
      </w:r>
    </w:p>
    <w:p w:rsidR="00956289" w:rsidRDefault="00672879" w:rsidP="00672879">
      <w:pPr>
        <w:pStyle w:val="BodyText"/>
        <w:tabs>
          <w:tab w:val="left" w:pos="1503"/>
        </w:tabs>
        <w:spacing w:after="260"/>
        <w:ind w:left="1540" w:hanging="720"/>
        <w:jc w:val="both"/>
      </w:pPr>
      <w:bookmarkStart w:id="96" w:name="bookmark96"/>
      <w:bookmarkEnd w:id="96"/>
      <w:r>
        <w:rPr>
          <w:shd w:val="clear" w:color="auto" w:fill="FFFFFF"/>
        </w:rPr>
        <w:t>i)</w:t>
      </w:r>
      <w:r>
        <w:rPr>
          <w:shd w:val="clear" w:color="auto" w:fill="FFFFFF"/>
        </w:rPr>
        <w:tab/>
      </w:r>
      <w:r>
        <w:t>facilitate the budget only those programmes that have secured funding and use supplementary budget if additional funds a</w:t>
      </w:r>
      <w:r>
        <w:t>re secured after the approval of the budget;</w:t>
      </w:r>
    </w:p>
    <w:p w:rsidR="00956289" w:rsidRDefault="00672879" w:rsidP="00672879">
      <w:pPr>
        <w:pStyle w:val="BodyText"/>
        <w:tabs>
          <w:tab w:val="left" w:pos="1503"/>
        </w:tabs>
        <w:spacing w:after="260"/>
        <w:ind w:left="1540" w:hanging="720"/>
        <w:jc w:val="both"/>
      </w:pPr>
      <w:bookmarkStart w:id="97" w:name="bookmark97"/>
      <w:bookmarkEnd w:id="97"/>
      <w:r>
        <w:rPr>
          <w:shd w:val="clear" w:color="auto" w:fill="FFFFFF"/>
        </w:rPr>
        <w:t>ii)</w:t>
      </w:r>
      <w:r>
        <w:rPr>
          <w:shd w:val="clear" w:color="auto" w:fill="FFFFFF"/>
        </w:rPr>
        <w:tab/>
      </w:r>
      <w:r>
        <w:t>consider modalities for financing the various Agenda 2063 Flagship projects by consulting with the relevant stakeholders with a view to developing investment vehicles through which the diaspora, the private sect</w:t>
      </w:r>
      <w:r>
        <w:t>or, and others can be incentivized to participate in financing the AU flagship projects;</w:t>
      </w:r>
    </w:p>
    <w:p w:rsidR="00956289" w:rsidRDefault="00672879" w:rsidP="00672879">
      <w:pPr>
        <w:pStyle w:val="BodyText"/>
        <w:tabs>
          <w:tab w:val="left" w:pos="1503"/>
        </w:tabs>
        <w:spacing w:after="260" w:line="226" w:lineRule="auto"/>
        <w:ind w:left="1540" w:hanging="720"/>
        <w:jc w:val="both"/>
      </w:pPr>
      <w:bookmarkStart w:id="98" w:name="bookmark98"/>
      <w:bookmarkEnd w:id="98"/>
      <w:r>
        <w:rPr>
          <w:shd w:val="clear" w:color="auto" w:fill="FFFFFF"/>
        </w:rPr>
        <w:t>iii)</w:t>
      </w:r>
      <w:r>
        <w:rPr>
          <w:shd w:val="clear" w:color="auto" w:fill="FFFFFF"/>
        </w:rPr>
        <w:tab/>
      </w:r>
      <w:r>
        <w:t>urge departments to budget according to the priority areas to avoid over</w:t>
      </w:r>
      <w:r>
        <w:softHyphen/>
        <w:t>budgeting;</w:t>
      </w:r>
    </w:p>
    <w:p w:rsidR="00956289" w:rsidRDefault="00672879" w:rsidP="00672879">
      <w:pPr>
        <w:pStyle w:val="BodyText"/>
        <w:tabs>
          <w:tab w:val="left" w:pos="1503"/>
        </w:tabs>
        <w:spacing w:after="260" w:line="233" w:lineRule="auto"/>
        <w:ind w:left="1540" w:hanging="720"/>
        <w:jc w:val="both"/>
      </w:pPr>
      <w:bookmarkStart w:id="99" w:name="bookmark99"/>
      <w:bookmarkEnd w:id="99"/>
      <w:r>
        <w:rPr>
          <w:shd w:val="clear" w:color="auto" w:fill="FFFFFF"/>
        </w:rPr>
        <w:t>iv)</w:t>
      </w:r>
      <w:r>
        <w:rPr>
          <w:shd w:val="clear" w:color="auto" w:fill="FFFFFF"/>
        </w:rPr>
        <w:tab/>
      </w:r>
      <w:r>
        <w:t>engage Partners with a view to understand why they could not fund the programs that</w:t>
      </w:r>
      <w:r>
        <w:t xml:space="preserve"> they pledged on.</w:t>
      </w:r>
    </w:p>
    <w:p w:rsidR="00956289" w:rsidRDefault="00672879" w:rsidP="00672879">
      <w:pPr>
        <w:pStyle w:val="BodyText"/>
        <w:tabs>
          <w:tab w:val="left" w:pos="1503"/>
        </w:tabs>
        <w:spacing w:after="260" w:line="221" w:lineRule="auto"/>
        <w:ind w:left="1540" w:hanging="720"/>
        <w:jc w:val="both"/>
      </w:pPr>
      <w:bookmarkStart w:id="100" w:name="bookmark100"/>
      <w:bookmarkEnd w:id="100"/>
      <w:r>
        <w:rPr>
          <w:shd w:val="clear" w:color="auto" w:fill="FFFFFF"/>
        </w:rPr>
        <w:t>v)</w:t>
      </w:r>
      <w:r>
        <w:rPr>
          <w:shd w:val="clear" w:color="auto" w:fill="FFFFFF"/>
        </w:rPr>
        <w:tab/>
      </w:r>
      <w:r>
        <w:t>adjust the scheduling of programs to reflect the timing of the funds availability;</w:t>
      </w:r>
    </w:p>
    <w:p w:rsidR="00956289" w:rsidRDefault="00672879" w:rsidP="00672879">
      <w:pPr>
        <w:pStyle w:val="BodyText"/>
        <w:tabs>
          <w:tab w:val="left" w:pos="1503"/>
        </w:tabs>
        <w:spacing w:after="260"/>
        <w:ind w:left="1540" w:hanging="720"/>
        <w:jc w:val="both"/>
      </w:pPr>
      <w:bookmarkStart w:id="101" w:name="bookmark101"/>
      <w:bookmarkEnd w:id="101"/>
      <w:r>
        <w:rPr>
          <w:shd w:val="clear" w:color="auto" w:fill="FFFFFF"/>
        </w:rPr>
        <w:t>vi)</w:t>
      </w:r>
      <w:r>
        <w:rPr>
          <w:shd w:val="clear" w:color="auto" w:fill="FFFFFF"/>
        </w:rPr>
        <w:tab/>
      </w:r>
      <w:r>
        <w:t>take concrete measures to address cases of financial mismanagement including implementing disciplinary and judicial measures</w:t>
      </w:r>
    </w:p>
    <w:p w:rsidR="00956289" w:rsidRDefault="00672879" w:rsidP="00672879">
      <w:pPr>
        <w:pStyle w:val="BodyText"/>
        <w:tabs>
          <w:tab w:val="left" w:pos="1503"/>
        </w:tabs>
        <w:spacing w:after="260"/>
        <w:ind w:left="1540" w:hanging="720"/>
        <w:jc w:val="both"/>
      </w:pPr>
      <w:bookmarkStart w:id="102" w:name="bookmark102"/>
      <w:bookmarkEnd w:id="102"/>
      <w:r>
        <w:rPr>
          <w:shd w:val="clear" w:color="auto" w:fill="FFFFFF"/>
        </w:rPr>
        <w:t>vii)</w:t>
      </w:r>
      <w:r>
        <w:rPr>
          <w:shd w:val="clear" w:color="auto" w:fill="FFFFFF"/>
        </w:rPr>
        <w:tab/>
      </w:r>
      <w:r>
        <w:t xml:space="preserve">appoint a team of </w:t>
      </w:r>
      <w:r>
        <w:t>independent auditors to regularly audit the financial records of the Union to ensure transparency and accountability and forward the reports to Member States;</w:t>
      </w:r>
    </w:p>
    <w:p w:rsidR="00956289" w:rsidRDefault="00672879" w:rsidP="00672879">
      <w:pPr>
        <w:pStyle w:val="BodyText"/>
        <w:tabs>
          <w:tab w:val="left" w:pos="1460"/>
        </w:tabs>
        <w:spacing w:line="233" w:lineRule="auto"/>
        <w:ind w:left="1480" w:hanging="740"/>
        <w:jc w:val="both"/>
      </w:pPr>
      <w:bookmarkStart w:id="103" w:name="bookmark103"/>
      <w:bookmarkEnd w:id="103"/>
      <w:r>
        <w:rPr>
          <w:shd w:val="clear" w:color="auto" w:fill="FFFFFF"/>
        </w:rPr>
        <w:t>viii)</w:t>
      </w:r>
      <w:r>
        <w:rPr>
          <w:shd w:val="clear" w:color="auto" w:fill="FFFFFF"/>
        </w:rPr>
        <w:tab/>
      </w:r>
      <w:r>
        <w:t>the Pass-Through-Projects should be excluded from the overall AU budget and be treated separately</w:t>
      </w:r>
      <w:r>
        <w:t>.</w:t>
      </w:r>
    </w:p>
    <w:p w:rsidR="00956289" w:rsidRDefault="00672879" w:rsidP="00672879">
      <w:pPr>
        <w:pStyle w:val="Heading10"/>
        <w:keepNext/>
        <w:keepLines/>
        <w:tabs>
          <w:tab w:val="left" w:pos="1280"/>
        </w:tabs>
        <w:spacing w:after="280"/>
        <w:ind w:firstLine="700"/>
        <w:jc w:val="both"/>
      </w:pPr>
      <w:bookmarkStart w:id="104" w:name="bookmark106"/>
      <w:bookmarkStart w:id="105" w:name="bookmark104"/>
      <w:bookmarkStart w:id="106" w:name="bookmark105"/>
      <w:bookmarkStart w:id="107" w:name="bookmark107"/>
      <w:bookmarkEnd w:id="104"/>
      <w:r>
        <w:rPr>
          <w:shd w:val="clear" w:color="auto" w:fill="FFFFFF"/>
        </w:rPr>
        <w:t>B.</w:t>
      </w:r>
      <w:r>
        <w:rPr>
          <w:shd w:val="clear" w:color="auto" w:fill="FFFFFF"/>
        </w:rPr>
        <w:tab/>
      </w:r>
      <w:r>
        <w:t>On the Implementation Matrix of Audit Recommendations:</w:t>
      </w:r>
      <w:bookmarkEnd w:id="105"/>
      <w:bookmarkEnd w:id="106"/>
      <w:bookmarkEnd w:id="107"/>
    </w:p>
    <w:p w:rsidR="00956289" w:rsidRDefault="00672879">
      <w:pPr>
        <w:pStyle w:val="BodyText"/>
        <w:jc w:val="both"/>
      </w:pPr>
      <w:r>
        <w:rPr>
          <w:b/>
          <w:bCs/>
        </w:rPr>
        <w:t xml:space="preserve">28. REQUESTS </w:t>
      </w:r>
      <w:r>
        <w:t>the Commission:</w:t>
      </w:r>
    </w:p>
    <w:p w:rsidR="00956289" w:rsidRDefault="00672879" w:rsidP="00672879">
      <w:pPr>
        <w:pStyle w:val="BodyText"/>
        <w:tabs>
          <w:tab w:val="left" w:pos="1280"/>
        </w:tabs>
        <w:spacing w:line="233" w:lineRule="auto"/>
        <w:ind w:left="1260" w:hanging="520"/>
        <w:jc w:val="both"/>
      </w:pPr>
      <w:bookmarkStart w:id="108" w:name="bookmark108"/>
      <w:bookmarkEnd w:id="108"/>
      <w:r>
        <w:rPr>
          <w:shd w:val="clear" w:color="auto" w:fill="FFFFFF"/>
        </w:rPr>
        <w:t>i)</w:t>
      </w:r>
      <w:r>
        <w:rPr>
          <w:shd w:val="clear" w:color="auto" w:fill="FFFFFF"/>
        </w:rPr>
        <w:tab/>
      </w:r>
      <w:r>
        <w:t>to strictly enforce the sanction regime provided in the relevant Rules and Regulations of the Union on any official or staff member who fails to implement audit recommend</w:t>
      </w:r>
      <w:r>
        <w:t>ations and disciplined in accordance with the provisions of the Staff Rules and Regulations of the Union, in order to ensure accountability;</w:t>
      </w:r>
    </w:p>
    <w:p w:rsidR="00956289" w:rsidRDefault="00672879" w:rsidP="00672879">
      <w:pPr>
        <w:pStyle w:val="BodyText"/>
        <w:tabs>
          <w:tab w:val="left" w:pos="1280"/>
        </w:tabs>
        <w:ind w:left="1260" w:hanging="520"/>
        <w:jc w:val="both"/>
      </w:pPr>
      <w:bookmarkStart w:id="109" w:name="bookmark109"/>
      <w:bookmarkEnd w:id="109"/>
      <w:r>
        <w:rPr>
          <w:shd w:val="clear" w:color="auto" w:fill="FFFFFF"/>
        </w:rPr>
        <w:t>ii)</w:t>
      </w:r>
      <w:r>
        <w:rPr>
          <w:shd w:val="clear" w:color="auto" w:fill="FFFFFF"/>
        </w:rPr>
        <w:tab/>
      </w:r>
      <w:r>
        <w:t>to consider the outcome of audits (i.e. implementation rate of audit recommendations) as part of the Performance Ap</w:t>
      </w:r>
      <w:r>
        <w:t>praisal system of AU.</w:t>
      </w:r>
    </w:p>
    <w:p w:rsidR="00956289" w:rsidRDefault="00672879" w:rsidP="00672879">
      <w:pPr>
        <w:pStyle w:val="BodyText"/>
        <w:tabs>
          <w:tab w:val="left" w:pos="1280"/>
        </w:tabs>
        <w:ind w:left="1260" w:hanging="520"/>
        <w:jc w:val="both"/>
      </w:pPr>
      <w:bookmarkStart w:id="110" w:name="bookmark110"/>
      <w:bookmarkEnd w:id="110"/>
      <w:r>
        <w:rPr>
          <w:shd w:val="clear" w:color="auto" w:fill="FFFFFF"/>
        </w:rPr>
        <w:t>iii)</w:t>
      </w:r>
      <w:r>
        <w:rPr>
          <w:shd w:val="clear" w:color="auto" w:fill="FFFFFF"/>
        </w:rPr>
        <w:tab/>
      </w:r>
      <w:r>
        <w:t>to strictly implement the Policy for Debt Collections and Write-offs. The policy should be implemented strictly and any proposal for write-off should be based on investigation, taking into account all the recovery options. In the mean</w:t>
      </w:r>
      <w:r>
        <w:t>time, the Commission to continue to recover all the outstanding receivables;</w:t>
      </w:r>
    </w:p>
    <w:p w:rsidR="00956289" w:rsidRDefault="00672879" w:rsidP="00672879">
      <w:pPr>
        <w:pStyle w:val="BodyText"/>
        <w:tabs>
          <w:tab w:val="left" w:pos="1280"/>
        </w:tabs>
        <w:spacing w:line="233" w:lineRule="auto"/>
        <w:ind w:left="1260" w:hanging="520"/>
        <w:jc w:val="both"/>
      </w:pPr>
      <w:bookmarkStart w:id="111" w:name="bookmark111"/>
      <w:bookmarkEnd w:id="111"/>
      <w:r>
        <w:rPr>
          <w:shd w:val="clear" w:color="auto" w:fill="FFFFFF"/>
        </w:rPr>
        <w:t>iv)</w:t>
      </w:r>
      <w:r>
        <w:rPr>
          <w:shd w:val="clear" w:color="auto" w:fill="FFFFFF"/>
        </w:rPr>
        <w:tab/>
      </w:r>
      <w:r>
        <w:t>to enhance and computerize with a view to ensure that all staff records including the debts/loans are accurately captured.</w:t>
      </w:r>
    </w:p>
    <w:p w:rsidR="00956289" w:rsidRDefault="00672879" w:rsidP="00672879">
      <w:pPr>
        <w:pStyle w:val="BodyText"/>
        <w:tabs>
          <w:tab w:val="left" w:pos="1280"/>
        </w:tabs>
        <w:spacing w:line="233" w:lineRule="auto"/>
        <w:ind w:left="1260" w:hanging="520"/>
        <w:jc w:val="both"/>
      </w:pPr>
      <w:bookmarkStart w:id="112" w:name="bookmark112"/>
      <w:bookmarkEnd w:id="112"/>
      <w:r>
        <w:rPr>
          <w:shd w:val="clear" w:color="auto" w:fill="FFFFFF"/>
        </w:rPr>
        <w:t>v)</w:t>
      </w:r>
      <w:r>
        <w:rPr>
          <w:shd w:val="clear" w:color="auto" w:fill="FFFFFF"/>
        </w:rPr>
        <w:tab/>
      </w:r>
      <w:r>
        <w:t>the Report on Matrix of Audit Recommendations to provide</w:t>
      </w:r>
      <w:r>
        <w:t xml:space="preserve"> specific details of action taken and state clearly the status of what exactly is still in progress along with a deadline.</w:t>
      </w:r>
    </w:p>
    <w:p w:rsidR="00956289" w:rsidRDefault="00672879" w:rsidP="00672879">
      <w:pPr>
        <w:pStyle w:val="BodyText"/>
        <w:tabs>
          <w:tab w:val="left" w:pos="1280"/>
        </w:tabs>
        <w:spacing w:line="233" w:lineRule="auto"/>
        <w:ind w:left="1260" w:hanging="520"/>
        <w:jc w:val="both"/>
      </w:pPr>
      <w:bookmarkStart w:id="113" w:name="bookmark113"/>
      <w:bookmarkEnd w:id="113"/>
      <w:r>
        <w:rPr>
          <w:shd w:val="clear" w:color="auto" w:fill="FFFFFF"/>
        </w:rPr>
        <w:t>vi)</w:t>
      </w:r>
      <w:r>
        <w:rPr>
          <w:shd w:val="clear" w:color="auto" w:fill="FFFFFF"/>
        </w:rPr>
        <w:tab/>
      </w:r>
      <w:r>
        <w:t>to institute Financial Sanction for non-performance of departments. In this regard, the departments/organs should be given budget all</w:t>
      </w:r>
      <w:r>
        <w:t>ocation based on:</w:t>
      </w:r>
    </w:p>
    <w:p w:rsidR="00956289" w:rsidRDefault="00672879" w:rsidP="00672879">
      <w:pPr>
        <w:pStyle w:val="BodyText"/>
        <w:tabs>
          <w:tab w:val="left" w:pos="1819"/>
        </w:tabs>
        <w:spacing w:after="0"/>
        <w:ind w:left="1260"/>
        <w:jc w:val="both"/>
      </w:pPr>
      <w:bookmarkStart w:id="114" w:name="bookmark114"/>
      <w:bookmarkEnd w:id="114"/>
      <w:r>
        <w:t>a)</w:t>
      </w:r>
      <w:r>
        <w:tab/>
      </w:r>
      <w:r>
        <w:t>The rate of their previous budget execution;</w:t>
      </w:r>
    </w:p>
    <w:p w:rsidR="00956289" w:rsidRDefault="00672879" w:rsidP="00672879">
      <w:pPr>
        <w:pStyle w:val="BodyText"/>
        <w:tabs>
          <w:tab w:val="left" w:pos="1819"/>
        </w:tabs>
        <w:ind w:left="1260"/>
      </w:pPr>
      <w:bookmarkStart w:id="115" w:name="bookmark115"/>
      <w:bookmarkEnd w:id="115"/>
      <w:r>
        <w:t>b)</w:t>
      </w:r>
      <w:r>
        <w:tab/>
      </w:r>
      <w:r>
        <w:t>The implementation rate of the audit recommendations.</w:t>
      </w:r>
    </w:p>
    <w:p w:rsidR="00956289" w:rsidRDefault="00672879" w:rsidP="00672879">
      <w:pPr>
        <w:pStyle w:val="BodyText"/>
        <w:tabs>
          <w:tab w:val="left" w:pos="1280"/>
        </w:tabs>
        <w:ind w:left="1260" w:hanging="520"/>
        <w:jc w:val="both"/>
      </w:pPr>
      <w:bookmarkStart w:id="116" w:name="bookmark116"/>
      <w:bookmarkEnd w:id="116"/>
      <w:r>
        <w:rPr>
          <w:shd w:val="clear" w:color="auto" w:fill="FFFFFF"/>
        </w:rPr>
        <w:t>vii)</w:t>
      </w:r>
      <w:r>
        <w:rPr>
          <w:shd w:val="clear" w:color="auto" w:fill="FFFFFF"/>
        </w:rPr>
        <w:tab/>
      </w:r>
      <w:r>
        <w:t xml:space="preserve">there is need to schedule a joint PRC Subcommittee (Audit Matters and General Supervision) meeting with the Deputy Chairperson of the </w:t>
      </w:r>
      <w:r>
        <w:t>Commission (DCP) sometime after the June/July 2017 Summit in order to discuss in detail the financial and administrative matters facing the Commission with a view to ensure a positive change takes place. The meeting should come up with a Progress Report to</w:t>
      </w:r>
      <w:r>
        <w:t xml:space="preserve"> be tabled to the PRC meeting;</w:t>
      </w:r>
    </w:p>
    <w:p w:rsidR="00956289" w:rsidRDefault="00672879" w:rsidP="00672879">
      <w:pPr>
        <w:pStyle w:val="BodyText"/>
        <w:tabs>
          <w:tab w:val="left" w:pos="1272"/>
        </w:tabs>
        <w:ind w:left="1280" w:hanging="560"/>
        <w:jc w:val="both"/>
      </w:pPr>
      <w:bookmarkStart w:id="117" w:name="bookmark117"/>
      <w:bookmarkEnd w:id="117"/>
      <w:r>
        <w:rPr>
          <w:shd w:val="clear" w:color="auto" w:fill="FFFFFF"/>
        </w:rPr>
        <w:t>viii)</w:t>
      </w:r>
      <w:r>
        <w:rPr>
          <w:shd w:val="clear" w:color="auto" w:fill="FFFFFF"/>
        </w:rPr>
        <w:tab/>
      </w:r>
      <w:r>
        <w:t>the Office of Internal Audit (OIA) should assist to place responsibility i.e. determine the Officers responsible for the losses caused by the non</w:t>
      </w:r>
      <w:r>
        <w:softHyphen/>
        <w:t>collection of debts when staff separated (based on the list of debts for write</w:t>
      </w:r>
      <w:r>
        <w:softHyphen/>
      </w:r>
      <w:r>
        <w:t>off) and in accordance with the existing AU policies. Disciplinary action should be taken on the culprits;</w:t>
      </w:r>
    </w:p>
    <w:p w:rsidR="00956289" w:rsidRDefault="00672879">
      <w:pPr>
        <w:pStyle w:val="BodyText"/>
        <w:spacing w:after="0" w:line="230" w:lineRule="auto"/>
        <w:ind w:left="720" w:hanging="720"/>
      </w:pPr>
      <w:r>
        <w:rPr>
          <w:b/>
          <w:bCs/>
        </w:rPr>
        <w:t xml:space="preserve">29. REQUESTS </w:t>
      </w:r>
      <w:r>
        <w:t>the Commission to report on the implementation of this decision during the AU Summit of January 2018.</w:t>
      </w:r>
    </w:p>
    <w:sectPr w:rsidR="00956289">
      <w:footnotePr>
        <w:numFmt w:val="upperRoman"/>
      </w:footnotePr>
      <w:pgSz w:w="12240" w:h="16834"/>
      <w:pgMar w:top="1967" w:right="1067" w:bottom="2080" w:left="1069" w:header="0" w:footer="3" w:gutter="0"/>
      <w:cols w:space="720"/>
      <w:noEndnote/>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672879">
      <w:r>
        <w:separator/>
      </w:r>
    </w:p>
  </w:endnote>
  <w:endnote w:type="continuationSeparator" w:id="0">
    <w:p w:rsidR="00000000" w:rsidRDefault="00672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56289" w:rsidRDefault="00672879">
      <w:r>
        <w:separator/>
      </w:r>
    </w:p>
  </w:footnote>
  <w:footnote w:type="continuationSeparator" w:id="0">
    <w:p w:rsidR="00956289" w:rsidRDefault="00672879">
      <w:r>
        <w:continuationSeparator/>
      </w:r>
    </w:p>
  </w:footnote>
  <w:footnote w:id="1">
    <w:p w:rsidR="00956289" w:rsidRDefault="00672879">
      <w:pPr>
        <w:pStyle w:val="Footnote0"/>
        <w:spacing w:line="288" w:lineRule="auto"/>
        <w:ind w:firstLine="0"/>
        <w:rPr>
          <w:sz w:val="16"/>
          <w:szCs w:val="16"/>
        </w:rPr>
      </w:pPr>
      <w:r>
        <w:rPr>
          <w:b/>
          <w:bCs/>
          <w:sz w:val="16"/>
          <w:szCs w:val="16"/>
          <w:vertAlign w:val="superscript"/>
        </w:rPr>
        <w:footnoteRef/>
      </w:r>
      <w:r>
        <w:rPr>
          <w:b/>
          <w:bCs/>
          <w:sz w:val="16"/>
          <w:szCs w:val="16"/>
        </w:rPr>
        <w:t xml:space="preserve"> The Kingdom of Morocco entered a strong reservation on nomenclature: African Union (AU) - European Union (EU) Partnership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53FB"/>
    <w:multiLevelType w:val="multilevel"/>
    <w:tmpl w:val="FF16AF7E"/>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11065D"/>
    <w:multiLevelType w:val="multilevel"/>
    <w:tmpl w:val="A888E00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EF7B3A"/>
    <w:multiLevelType w:val="multilevel"/>
    <w:tmpl w:val="509AA984"/>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6B1081"/>
    <w:multiLevelType w:val="multilevel"/>
    <w:tmpl w:val="A356BF7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8B2ADF"/>
    <w:multiLevelType w:val="multilevel"/>
    <w:tmpl w:val="F3CA52C4"/>
    <w:lvl w:ilvl="0">
      <w:start w:val="2"/>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AAE4E75"/>
    <w:multiLevelType w:val="multilevel"/>
    <w:tmpl w:val="490CB258"/>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1D3F63"/>
    <w:multiLevelType w:val="multilevel"/>
    <w:tmpl w:val="140C5E6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C121C5"/>
    <w:multiLevelType w:val="multilevel"/>
    <w:tmpl w:val="91E2EED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B34606"/>
    <w:multiLevelType w:val="multilevel"/>
    <w:tmpl w:val="3D44D020"/>
    <w:lvl w:ilvl="0">
      <w:start w:val="1"/>
      <w:numFmt w:val="upperLetter"/>
      <w:lvlText w:val="%1."/>
      <w:lvlJc w:val="left"/>
      <w:rPr>
        <w:rFonts w:ascii="Arial" w:eastAsia="Arial" w:hAnsi="Arial" w:cs="Arial"/>
        <w:b/>
        <w:bCs/>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E359C2"/>
    <w:multiLevelType w:val="multilevel"/>
    <w:tmpl w:val="79D666D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0200A1"/>
    <w:multiLevelType w:val="multilevel"/>
    <w:tmpl w:val="831E8A6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94E7EA6"/>
    <w:multiLevelType w:val="multilevel"/>
    <w:tmpl w:val="F2D2154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902334"/>
    <w:multiLevelType w:val="multilevel"/>
    <w:tmpl w:val="5312369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9370DE"/>
    <w:multiLevelType w:val="multilevel"/>
    <w:tmpl w:val="8086FB82"/>
    <w:lvl w:ilvl="0">
      <w:start w:val="17"/>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254CC1"/>
    <w:multiLevelType w:val="multilevel"/>
    <w:tmpl w:val="7C54342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5594CDA"/>
    <w:multiLevelType w:val="multilevel"/>
    <w:tmpl w:val="1D245206"/>
    <w:lvl w:ilvl="0">
      <w:start w:val="4"/>
      <w:numFmt w:val="upperLetter"/>
      <w:lvlText w:val="%1."/>
      <w:lvlJc w:val="left"/>
      <w:rPr>
        <w:rFonts w:ascii="Arial" w:eastAsia="Arial" w:hAnsi="Arial" w:cs="Arial"/>
        <w:b/>
        <w:bCs/>
        <w:i/>
        <w:iCs/>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9F18E9"/>
    <w:multiLevelType w:val="multilevel"/>
    <w:tmpl w:val="B45CA5D4"/>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C1B0EC2"/>
    <w:multiLevelType w:val="multilevel"/>
    <w:tmpl w:val="991AFB1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0F4F52"/>
    <w:multiLevelType w:val="multilevel"/>
    <w:tmpl w:val="778CBE26"/>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AC5C82"/>
    <w:multiLevelType w:val="multilevel"/>
    <w:tmpl w:val="7460245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87F65B1"/>
    <w:multiLevelType w:val="multilevel"/>
    <w:tmpl w:val="E78EC32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9934D36"/>
    <w:multiLevelType w:val="multilevel"/>
    <w:tmpl w:val="93C0CAEA"/>
    <w:lvl w:ilvl="0">
      <w:start w:val="8"/>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5378157">
    <w:abstractNumId w:val="16"/>
  </w:num>
  <w:num w:numId="2" w16cid:durableId="1029263199">
    <w:abstractNumId w:val="0"/>
  </w:num>
  <w:num w:numId="3" w16cid:durableId="1738017152">
    <w:abstractNumId w:val="20"/>
  </w:num>
  <w:num w:numId="4" w16cid:durableId="695275532">
    <w:abstractNumId w:val="12"/>
  </w:num>
  <w:num w:numId="5" w16cid:durableId="1398435909">
    <w:abstractNumId w:val="9"/>
  </w:num>
  <w:num w:numId="6" w16cid:durableId="2131707447">
    <w:abstractNumId w:val="17"/>
  </w:num>
  <w:num w:numId="7" w16cid:durableId="397168680">
    <w:abstractNumId w:val="3"/>
  </w:num>
  <w:num w:numId="8" w16cid:durableId="2030258904">
    <w:abstractNumId w:val="7"/>
  </w:num>
  <w:num w:numId="9" w16cid:durableId="728456333">
    <w:abstractNumId w:val="4"/>
  </w:num>
  <w:num w:numId="10" w16cid:durableId="1502743788">
    <w:abstractNumId w:val="2"/>
  </w:num>
  <w:num w:numId="11" w16cid:durableId="1312293936">
    <w:abstractNumId w:val="8"/>
  </w:num>
  <w:num w:numId="12" w16cid:durableId="446122608">
    <w:abstractNumId w:val="21"/>
  </w:num>
  <w:num w:numId="13" w16cid:durableId="110786226">
    <w:abstractNumId w:val="6"/>
  </w:num>
  <w:num w:numId="14" w16cid:durableId="2092920561">
    <w:abstractNumId w:val="15"/>
  </w:num>
  <w:num w:numId="15" w16cid:durableId="608657500">
    <w:abstractNumId w:val="13"/>
  </w:num>
  <w:num w:numId="16" w16cid:durableId="1503206886">
    <w:abstractNumId w:val="18"/>
  </w:num>
  <w:num w:numId="17" w16cid:durableId="959149078">
    <w:abstractNumId w:val="14"/>
  </w:num>
  <w:num w:numId="18" w16cid:durableId="980188428">
    <w:abstractNumId w:val="10"/>
  </w:num>
  <w:num w:numId="19" w16cid:durableId="2037267449">
    <w:abstractNumId w:val="5"/>
  </w:num>
  <w:num w:numId="20" w16cid:durableId="470447017">
    <w:abstractNumId w:val="1"/>
  </w:num>
  <w:num w:numId="21" w16cid:durableId="1755859138">
    <w:abstractNumId w:val="11"/>
  </w:num>
  <w:num w:numId="22" w16cid:durableId="180743396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89"/>
    <w:rsid w:val="00672879"/>
    <w:rsid w:val="00956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
    <w:name w:val="Footnote_"/>
    <w:basedOn w:val="DefaultParagraphFont"/>
    <w:link w:val="Footnote0"/>
    <w:rPr>
      <w:rFonts w:ascii="Arial" w:eastAsia="Arial" w:hAnsi="Arial" w:cs="Arial"/>
      <w:b w:val="0"/>
      <w:bCs w:val="0"/>
      <w:i w:val="0"/>
      <w:iCs w:val="0"/>
      <w:smallCaps w:val="0"/>
      <w:strike w:val="0"/>
      <w:sz w:val="22"/>
      <w:szCs w:val="22"/>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paragraph" w:customStyle="1" w:styleId="Footnote0">
    <w:name w:val="Footnote"/>
    <w:basedOn w:val="Normal"/>
    <w:link w:val="Footnote"/>
    <w:pPr>
      <w:ind w:firstLine="140"/>
    </w:pPr>
    <w:rPr>
      <w:rFonts w:ascii="Arial" w:eastAsia="Arial" w:hAnsi="Arial" w:cs="Arial"/>
      <w:sz w:val="22"/>
      <w:szCs w:val="22"/>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 w:type="paragraph" w:customStyle="1" w:styleId="Other0">
    <w:name w:val="Other"/>
    <w:basedOn w:val="Normal"/>
    <w:link w:val="Other"/>
    <w:pPr>
      <w:spacing w:after="280"/>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3203</Words>
  <Characters>18258</Characters>
  <Application>Microsoft Office Word</Application>
  <DocSecurity>0</DocSecurity>
  <Lines>152</Lines>
  <Paragraphs>42</Paragraphs>
  <ScaleCrop>false</ScaleCrop>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2022-10-26T06:25:00Z</dcterms:created>
  <dcterms:modified xsi:type="dcterms:W3CDTF">2022-10-26T06:25:00Z</dcterms:modified>
</cp:coreProperties>
</file>