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1FF" w:rsidRDefault="00421A2F">
      <w:pPr>
        <w:pStyle w:val="BodyText"/>
        <w:spacing w:after="0"/>
        <w:jc w:val="center"/>
      </w:pPr>
      <w:r>
        <w:rPr>
          <w:b/>
          <w:bCs/>
        </w:rPr>
        <w:t>DECISION ON THE CONCEPT NOTE ON THE THEME OF THE YEAR: “REFUGEES,</w:t>
      </w:r>
      <w:r>
        <w:rPr>
          <w:b/>
          <w:bCs/>
        </w:rPr>
        <w:br/>
        <w:t>RETURNEES AND INTERNALLY DISPLACED PERSONS: TOWARDS DURABLE</w:t>
      </w:r>
      <w:r>
        <w:rPr>
          <w:b/>
          <w:bCs/>
        </w:rPr>
        <w:br/>
        <w:t>SOLUTIONS TO FORCED DISPLACEMENT IN AFRICA”</w:t>
      </w:r>
    </w:p>
    <w:p w:rsidR="001C01FF" w:rsidRDefault="00421A2F">
      <w:pPr>
        <w:pStyle w:val="BodyText"/>
        <w:jc w:val="center"/>
      </w:pPr>
      <w:r>
        <w:rPr>
          <w:b/>
          <w:bCs/>
        </w:rPr>
        <w:t>Doc. EX.CL/1112(XXXIV)</w:t>
      </w:r>
    </w:p>
    <w:p w:rsidR="001C01FF" w:rsidRDefault="00421A2F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1C01FF" w:rsidRDefault="00421A2F" w:rsidP="00421A2F">
      <w:pPr>
        <w:pStyle w:val="BodyText"/>
        <w:tabs>
          <w:tab w:val="left" w:pos="717"/>
        </w:tabs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Concept Note on </w:t>
      </w:r>
      <w:r>
        <w:t>the Theme of the Year 2019: “Refugees, Returnees and Internally Displaced Persons: Towards Durable Solutions to Forced displacement in Africa” and the ensuing debate;</w:t>
      </w:r>
    </w:p>
    <w:p w:rsidR="001C01FF" w:rsidRDefault="00421A2F" w:rsidP="00421A2F">
      <w:pPr>
        <w:pStyle w:val="BodyText"/>
        <w:tabs>
          <w:tab w:val="left" w:pos="717"/>
        </w:tabs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its Decision EX.CL/Dec.968(XXXI) on the Theme of the Year 2019 and Decision Assem</w:t>
      </w:r>
      <w:r>
        <w:t>bly/AU /Dec.707(XXXI) of July 2018 requesting the Commission to develop a roadmap, in collaboration with the PRC, for the implementation of the 2019 theme;</w:t>
      </w:r>
    </w:p>
    <w:p w:rsidR="001C01FF" w:rsidRDefault="00421A2F" w:rsidP="00421A2F">
      <w:pPr>
        <w:pStyle w:val="BodyText"/>
        <w:tabs>
          <w:tab w:val="left" w:pos="717"/>
        </w:tabs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Member States and the Commission to:</w:t>
      </w:r>
    </w:p>
    <w:p w:rsidR="001C01FF" w:rsidRDefault="00421A2F" w:rsidP="00421A2F">
      <w:pPr>
        <w:pStyle w:val="BodyText"/>
        <w:tabs>
          <w:tab w:val="left" w:pos="1284"/>
        </w:tabs>
        <w:ind w:left="1280" w:hanging="560"/>
        <w:jc w:val="both"/>
      </w:pPr>
      <w:bookmarkStart w:id="6" w:name="bookmark6"/>
      <w:bookmarkEnd w:id="6"/>
      <w:r>
        <w:t>i)</w:t>
      </w:r>
      <w:r>
        <w:tab/>
      </w:r>
      <w:r>
        <w:t>Plan and organise activities on the Theme of 2019, wor</w:t>
      </w:r>
      <w:r>
        <w:t>king closely with AU Organs, RECs and partners, in line with the roadmap on the Theme of the year 2019 and relevant Decisions of the AU Policy Organs; and</w:t>
      </w:r>
    </w:p>
    <w:p w:rsidR="001C01FF" w:rsidRDefault="00421A2F" w:rsidP="00421A2F">
      <w:pPr>
        <w:pStyle w:val="BodyText"/>
        <w:tabs>
          <w:tab w:val="left" w:pos="1284"/>
        </w:tabs>
        <w:ind w:left="1280" w:hanging="560"/>
        <w:jc w:val="both"/>
      </w:pPr>
      <w:bookmarkStart w:id="7" w:name="bookmark7"/>
      <w:bookmarkEnd w:id="7"/>
      <w:r>
        <w:t>ii)</w:t>
      </w:r>
      <w:r>
        <w:tab/>
      </w:r>
      <w:r>
        <w:t>Mark the 50</w:t>
      </w:r>
      <w:r>
        <w:rPr>
          <w:vertAlign w:val="superscript"/>
        </w:rPr>
        <w:t>th</w:t>
      </w:r>
      <w:r>
        <w:t xml:space="preserve"> Anniversary of the adoption of the 1969 OAU Refugee Convention, as well as the 10</w:t>
      </w:r>
      <w:r>
        <w:rPr>
          <w:vertAlign w:val="superscript"/>
        </w:rPr>
        <w:t>th</w:t>
      </w:r>
      <w:r>
        <w:t xml:space="preserve"> Ann</w:t>
      </w:r>
      <w:r>
        <w:t>iversary of the Kampala Convention in 2019, with activities that aim to promote their ratification, domestication and implementation.</w:t>
      </w:r>
    </w:p>
    <w:p w:rsidR="001C01FF" w:rsidRDefault="00421A2F" w:rsidP="00421A2F">
      <w:pPr>
        <w:pStyle w:val="BodyText"/>
        <w:tabs>
          <w:tab w:val="left" w:pos="717"/>
        </w:tabs>
        <w:spacing w:line="221" w:lineRule="auto"/>
        <w:ind w:left="700" w:hanging="700"/>
        <w:jc w:val="both"/>
      </w:pPr>
      <w:bookmarkStart w:id="8" w:name="bookmark8"/>
      <w:bookmarkEnd w:id="8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to the Assembly to adopt the outcomes of the debate on the Theme of the year 2019;</w:t>
      </w:r>
    </w:p>
    <w:p w:rsidR="001C01FF" w:rsidRDefault="00421A2F" w:rsidP="00421A2F">
      <w:pPr>
        <w:pStyle w:val="BodyText"/>
        <w:tabs>
          <w:tab w:val="left" w:pos="717"/>
        </w:tabs>
        <w:spacing w:line="233" w:lineRule="auto"/>
        <w:ind w:left="700" w:hanging="700"/>
        <w:jc w:val="both"/>
      </w:pPr>
      <w:bookmarkStart w:id="9" w:name="bookmark9"/>
      <w:bookmarkEnd w:id="9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r</w:t>
      </w:r>
      <w:r>
        <w:t>eport on the implementation of this Decision to the 36</w:t>
      </w:r>
      <w:r>
        <w:rPr>
          <w:vertAlign w:val="superscript"/>
        </w:rPr>
        <w:t>th</w:t>
      </w:r>
      <w:r>
        <w:t xml:space="preserve"> Ordinary Session of the Executive Council in February 2020.</w:t>
      </w:r>
    </w:p>
    <w:sectPr w:rsidR="001C01FF">
      <w:pgSz w:w="12240" w:h="16834"/>
      <w:pgMar w:top="1856" w:right="1338" w:bottom="5924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21A2F">
      <w:r>
        <w:separator/>
      </w:r>
    </w:p>
  </w:endnote>
  <w:endnote w:type="continuationSeparator" w:id="0">
    <w:p w:rsidR="00000000" w:rsidRDefault="004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1FF" w:rsidRDefault="00421A2F">
      <w:r>
        <w:separator/>
      </w:r>
    </w:p>
  </w:footnote>
  <w:footnote w:type="continuationSeparator" w:id="0">
    <w:p w:rsidR="001C01FF" w:rsidRDefault="0042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25A"/>
    <w:multiLevelType w:val="multilevel"/>
    <w:tmpl w:val="AA52AA6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C349B4"/>
    <w:multiLevelType w:val="multilevel"/>
    <w:tmpl w:val="7CC88F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9524302">
    <w:abstractNumId w:val="1"/>
  </w:num>
  <w:num w:numId="2" w16cid:durableId="17611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FF"/>
    <w:rsid w:val="001C01FF"/>
    <w:rsid w:val="004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