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8F0" w:rsidRDefault="008774E0">
      <w:pPr>
        <w:pStyle w:val="BodyText"/>
        <w:spacing w:after="200"/>
        <w:jc w:val="center"/>
      </w:pPr>
      <w:r>
        <w:rPr>
          <w:b/>
          <w:bCs/>
        </w:rPr>
        <w:t>DECISION ON THE ACTIVITY REPORT OF THE</w:t>
      </w:r>
      <w:r>
        <w:rPr>
          <w:b/>
          <w:bCs/>
        </w:rPr>
        <w:br/>
        <w:t>PAN-AFRICAN PARLIAMENT (PAP)</w:t>
      </w:r>
      <w:r>
        <w:rPr>
          <w:b/>
          <w:bCs/>
        </w:rPr>
        <w:br/>
        <w:t>Doc. EX.CL/1124(XXXIV)</w:t>
      </w:r>
    </w:p>
    <w:p w:rsidR="00BA18F0" w:rsidRDefault="008774E0">
      <w:pPr>
        <w:pStyle w:val="Heading10"/>
        <w:keepNext/>
        <w:keepLines/>
        <w:spacing w:after="28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BA18F0" w:rsidRDefault="008774E0" w:rsidP="008774E0">
      <w:pPr>
        <w:pStyle w:val="BodyText"/>
        <w:tabs>
          <w:tab w:val="left" w:pos="714"/>
        </w:tabs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Activity Report of the Pan-African Parliament;</w:t>
      </w:r>
    </w:p>
    <w:p w:rsidR="00BA18F0" w:rsidRDefault="008774E0" w:rsidP="008774E0">
      <w:pPr>
        <w:pStyle w:val="BodyText"/>
        <w:tabs>
          <w:tab w:val="left" w:pos="714"/>
        </w:tabs>
        <w:ind w:left="700" w:hanging="70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CONGRATULATES </w:t>
      </w:r>
      <w:r>
        <w:t xml:space="preserve">Member States that have ratified the Protocol to the Constitutive Act of the African Union relating to the Pan-African Parliament of 2014 and </w:t>
      </w:r>
      <w:r>
        <w:rPr>
          <w:b/>
          <w:bCs/>
        </w:rPr>
        <w:t xml:space="preserve">CALLS UPON </w:t>
      </w:r>
      <w:r>
        <w:t>those that have not done so to speed up the ratification process;</w:t>
      </w:r>
    </w:p>
    <w:p w:rsidR="00BA18F0" w:rsidRDefault="008774E0" w:rsidP="008774E0">
      <w:pPr>
        <w:pStyle w:val="BodyText"/>
        <w:tabs>
          <w:tab w:val="left" w:pos="714"/>
        </w:tabs>
        <w:spacing w:line="233" w:lineRule="auto"/>
        <w:ind w:left="700" w:hanging="70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DIRECTS </w:t>
      </w:r>
      <w:r>
        <w:t>PAP to operate strictly withi</w:t>
      </w:r>
      <w:r>
        <w:t>n its mandate in accordance with the relevant legal instruments in force;</w:t>
      </w:r>
    </w:p>
    <w:p w:rsidR="00BA18F0" w:rsidRDefault="008774E0" w:rsidP="008774E0">
      <w:pPr>
        <w:pStyle w:val="BodyText"/>
        <w:tabs>
          <w:tab w:val="left" w:pos="714"/>
        </w:tabs>
        <w:ind w:left="700" w:hanging="70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ALSO DIRECTS </w:t>
      </w:r>
      <w:r>
        <w:t>PAP to include in its annual activity report a section on the implementation of Administrative and Management actions taken in accordance with decisions of AU Policy Org</w:t>
      </w:r>
      <w:r>
        <w:t>ans;</w:t>
      </w:r>
    </w:p>
    <w:p w:rsidR="00BA18F0" w:rsidRDefault="008774E0" w:rsidP="008774E0">
      <w:pPr>
        <w:pStyle w:val="BodyText"/>
        <w:tabs>
          <w:tab w:val="left" w:pos="714"/>
        </w:tabs>
        <w:ind w:left="700" w:hanging="700"/>
        <w:jc w:val="both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FURTHER DIRECTS </w:t>
      </w:r>
      <w:r>
        <w:t>that proposals with financial implications should systematically be submitted to the relevant PRC Sub-Committee;</w:t>
      </w:r>
    </w:p>
    <w:p w:rsidR="00BA18F0" w:rsidRDefault="008774E0" w:rsidP="008774E0">
      <w:pPr>
        <w:pStyle w:val="BodyText"/>
        <w:tabs>
          <w:tab w:val="left" w:pos="714"/>
        </w:tabs>
        <w:ind w:left="700" w:hanging="700"/>
        <w:jc w:val="both"/>
      </w:pPr>
      <w:bookmarkStart w:id="8" w:name="bookmark8"/>
      <w:bookmarkEnd w:id="8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 work in collaboration with PAP and the Government of South Africa to resolve any outstanding is</w:t>
      </w:r>
      <w:r>
        <w:t>sues relating to the review and implementation of the Host Country Agreement.</w:t>
      </w:r>
    </w:p>
    <w:sectPr w:rsidR="00BA18F0">
      <w:pgSz w:w="12240" w:h="16834"/>
      <w:pgMar w:top="1964" w:right="1387" w:bottom="1964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774E0">
      <w:r>
        <w:separator/>
      </w:r>
    </w:p>
  </w:endnote>
  <w:endnote w:type="continuationSeparator" w:id="0">
    <w:p w:rsidR="00000000" w:rsidRDefault="0087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18F0" w:rsidRDefault="008774E0">
      <w:r>
        <w:separator/>
      </w:r>
    </w:p>
  </w:footnote>
  <w:footnote w:type="continuationSeparator" w:id="0">
    <w:p w:rsidR="00BA18F0" w:rsidRDefault="0087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A704A"/>
    <w:multiLevelType w:val="multilevel"/>
    <w:tmpl w:val="4E4AC29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0022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F0"/>
    <w:rsid w:val="008774E0"/>
    <w:rsid w:val="00BA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2022-10-26T06:27:00Z</dcterms:created>
  <dcterms:modified xsi:type="dcterms:W3CDTF">2022-10-26T06:27:00Z</dcterms:modified>
</cp:coreProperties>
</file>