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2EA8" w:rsidRDefault="008168FC">
      <w:pPr>
        <w:pStyle w:val="BodyText"/>
        <w:spacing w:after="180"/>
        <w:jc w:val="center"/>
      </w:pPr>
      <w:r>
        <w:rPr>
          <w:b/>
          <w:bCs/>
        </w:rPr>
        <w:t>DECISION ON THE ACTIVITY REPORT OF THE AFRICAN COMMITTEE OF</w:t>
      </w:r>
      <w:r>
        <w:rPr>
          <w:b/>
          <w:bCs/>
        </w:rPr>
        <w:br/>
        <w:t>EXPERTS ON THE RIGHTS AND WELFARE OF THE CHILD (ACERWC)</w:t>
      </w:r>
      <w:r>
        <w:rPr>
          <w:b/>
          <w:bCs/>
        </w:rPr>
        <w:br/>
        <w:t>Doc. EX.CL/1125(XXXIV)</w:t>
      </w:r>
    </w:p>
    <w:p w:rsidR="00832EA8" w:rsidRDefault="008168FC">
      <w:pPr>
        <w:pStyle w:val="Heading10"/>
        <w:keepNext/>
        <w:keepLines/>
        <w:spacing w:after="320"/>
      </w:pPr>
      <w:bookmarkStart w:id="0" w:name="bookmark0"/>
      <w:bookmarkStart w:id="1" w:name="bookmark1"/>
      <w:bookmarkStart w:id="2" w:name="bookmark2"/>
      <w:r>
        <w:t>The Executive Council,</w:t>
      </w:r>
      <w:bookmarkEnd w:id="0"/>
      <w:bookmarkEnd w:id="1"/>
      <w:bookmarkEnd w:id="2"/>
    </w:p>
    <w:p w:rsidR="00832EA8" w:rsidRDefault="008168FC" w:rsidP="008168FC">
      <w:pPr>
        <w:pStyle w:val="BodyText"/>
        <w:tabs>
          <w:tab w:val="left" w:pos="713"/>
        </w:tabs>
        <w:spacing w:after="260" w:line="221" w:lineRule="auto"/>
        <w:ind w:left="700" w:hanging="700"/>
        <w:jc w:val="both"/>
      </w:pPr>
      <w:bookmarkStart w:id="3" w:name="bookmark3"/>
      <w:bookmarkEnd w:id="3"/>
      <w:r>
        <w:rPr>
          <w:b/>
          <w:bCs/>
        </w:rPr>
        <w:t>1.</w:t>
      </w:r>
      <w:r>
        <w:rPr>
          <w:b/>
          <w:bCs/>
        </w:rPr>
        <w:tab/>
      </w:r>
      <w:r>
        <w:rPr>
          <w:b/>
          <w:bCs/>
        </w:rPr>
        <w:t xml:space="preserve">TAKES NOTE </w:t>
      </w:r>
      <w:r>
        <w:t xml:space="preserve">of the Activity Report of the African Committee of Experts on the Rights and </w:t>
      </w:r>
      <w:r>
        <w:t>Welfare of the Child;</w:t>
      </w:r>
    </w:p>
    <w:p w:rsidR="00832EA8" w:rsidRDefault="008168FC" w:rsidP="008168FC">
      <w:pPr>
        <w:pStyle w:val="BodyText"/>
        <w:tabs>
          <w:tab w:val="left" w:pos="713"/>
        </w:tabs>
        <w:spacing w:after="260"/>
        <w:ind w:left="700" w:hanging="700"/>
        <w:jc w:val="both"/>
      </w:pPr>
      <w:bookmarkStart w:id="4" w:name="bookmark4"/>
      <w:bookmarkEnd w:id="4"/>
      <w:r>
        <w:rPr>
          <w:b/>
          <w:bCs/>
        </w:rPr>
        <w:t>2.</w:t>
      </w:r>
      <w:r>
        <w:rPr>
          <w:b/>
          <w:bCs/>
        </w:rPr>
        <w:tab/>
      </w:r>
      <w:r>
        <w:rPr>
          <w:b/>
          <w:bCs/>
        </w:rPr>
        <w:t xml:space="preserve">URGES </w:t>
      </w:r>
      <w:r>
        <w:t>Member States which have not yet ratified the Charter, to expedite the ratification process; and State Parties which have placed reservations on the application of the provisions of the Charter to consider their withdrawal;</w:t>
      </w:r>
    </w:p>
    <w:p w:rsidR="00832EA8" w:rsidRDefault="008168FC" w:rsidP="008168FC">
      <w:pPr>
        <w:pStyle w:val="BodyText"/>
        <w:tabs>
          <w:tab w:val="left" w:pos="713"/>
        </w:tabs>
        <w:spacing w:after="260"/>
        <w:ind w:left="700" w:hanging="700"/>
        <w:jc w:val="both"/>
      </w:pPr>
      <w:bookmarkStart w:id="5" w:name="bookmark5"/>
      <w:bookmarkEnd w:id="5"/>
      <w:r>
        <w:rPr>
          <w:b/>
          <w:bCs/>
        </w:rPr>
        <w:t>3.</w:t>
      </w:r>
      <w:r>
        <w:rPr>
          <w:b/>
          <w:bCs/>
        </w:rPr>
        <w:tab/>
      </w:r>
      <w:r>
        <w:rPr>
          <w:b/>
          <w:bCs/>
        </w:rPr>
        <w:t>COMM</w:t>
      </w:r>
      <w:r>
        <w:rPr>
          <w:b/>
          <w:bCs/>
        </w:rPr>
        <w:t xml:space="preserve">ENDS the </w:t>
      </w:r>
      <w:r>
        <w:t xml:space="preserve">State Parties which have submitted their Reports on the implementation of the African Children’s Charter and </w:t>
      </w:r>
      <w:r>
        <w:rPr>
          <w:b/>
          <w:bCs/>
        </w:rPr>
        <w:t xml:space="preserve">CALLS UPON </w:t>
      </w:r>
      <w:r>
        <w:t>those that have not done so to submit their reports;</w:t>
      </w:r>
    </w:p>
    <w:p w:rsidR="00832EA8" w:rsidRDefault="008168FC" w:rsidP="008168FC">
      <w:pPr>
        <w:pStyle w:val="BodyText"/>
        <w:tabs>
          <w:tab w:val="left" w:pos="713"/>
        </w:tabs>
        <w:spacing w:after="260"/>
        <w:ind w:left="700" w:hanging="700"/>
        <w:jc w:val="both"/>
      </w:pPr>
      <w:bookmarkStart w:id="6" w:name="bookmark6"/>
      <w:bookmarkEnd w:id="6"/>
      <w:r>
        <w:rPr>
          <w:b/>
          <w:bCs/>
        </w:rPr>
        <w:t>4.</w:t>
      </w:r>
      <w:r>
        <w:rPr>
          <w:b/>
          <w:bCs/>
        </w:rPr>
        <w:tab/>
      </w:r>
      <w:r>
        <w:rPr>
          <w:b/>
          <w:bCs/>
        </w:rPr>
        <w:t xml:space="preserve">ADOPTS </w:t>
      </w:r>
      <w:r>
        <w:t xml:space="preserve">the theme for the Day of the African Child 2020: </w:t>
      </w:r>
      <w:r>
        <w:rPr>
          <w:b/>
          <w:bCs/>
        </w:rPr>
        <w:t>“Access to a Child</w:t>
      </w:r>
      <w:r>
        <w:rPr>
          <w:b/>
          <w:bCs/>
        </w:rPr>
        <w:t xml:space="preserve"> Friendly Justice System in Africa” </w:t>
      </w:r>
      <w:r>
        <w:t xml:space="preserve">and </w:t>
      </w:r>
      <w:r>
        <w:rPr>
          <w:b/>
          <w:bCs/>
        </w:rPr>
        <w:t xml:space="preserve">REQUESTS </w:t>
      </w:r>
      <w:r>
        <w:t>Member States to commemorate the DAC and report on the implementation of the recommendations of the Committee;</w:t>
      </w:r>
    </w:p>
    <w:p w:rsidR="00832EA8" w:rsidRDefault="008168FC" w:rsidP="008168FC">
      <w:pPr>
        <w:pStyle w:val="BodyText"/>
        <w:tabs>
          <w:tab w:val="left" w:pos="713"/>
        </w:tabs>
        <w:spacing w:after="260"/>
        <w:ind w:left="700" w:hanging="700"/>
        <w:jc w:val="both"/>
      </w:pPr>
      <w:bookmarkStart w:id="7" w:name="bookmark7"/>
      <w:bookmarkEnd w:id="7"/>
      <w:r>
        <w:rPr>
          <w:b/>
          <w:bCs/>
        </w:rPr>
        <w:t>5.</w:t>
      </w:r>
      <w:r>
        <w:rPr>
          <w:b/>
          <w:bCs/>
        </w:rPr>
        <w:tab/>
      </w:r>
      <w:r>
        <w:rPr>
          <w:b/>
          <w:bCs/>
        </w:rPr>
        <w:t xml:space="preserve">URGES </w:t>
      </w:r>
      <w:r>
        <w:t>the Federal Democratic Republic of Ethiopia, the Republic of Madagascar and the Republic o</w:t>
      </w:r>
      <w:r>
        <w:t>f Mozambique to fully implement the Recommendations, included in the ACERWC Report concluding observations;</w:t>
      </w:r>
    </w:p>
    <w:p w:rsidR="00832EA8" w:rsidRDefault="008168FC" w:rsidP="008168FC">
      <w:pPr>
        <w:pStyle w:val="BodyText"/>
        <w:tabs>
          <w:tab w:val="left" w:pos="713"/>
        </w:tabs>
        <w:spacing w:after="260"/>
        <w:ind w:left="700" w:hanging="700"/>
        <w:jc w:val="both"/>
      </w:pPr>
      <w:bookmarkStart w:id="8" w:name="bookmark8"/>
      <w:bookmarkEnd w:id="8"/>
      <w:r>
        <w:rPr>
          <w:b/>
          <w:bCs/>
        </w:rPr>
        <w:t>6.</w:t>
      </w:r>
      <w:r>
        <w:rPr>
          <w:b/>
          <w:bCs/>
        </w:rPr>
        <w:tab/>
      </w:r>
      <w:r>
        <w:rPr>
          <w:b/>
          <w:bCs/>
        </w:rPr>
        <w:t xml:space="preserve">RECALLS </w:t>
      </w:r>
      <w:r>
        <w:t xml:space="preserve">Article 44 of the African Children’s Charter which gives the ACERWC the mandate to receive and consider Communications/Complaints and </w:t>
      </w:r>
      <w:r>
        <w:rPr>
          <w:b/>
          <w:bCs/>
        </w:rPr>
        <w:t xml:space="preserve">URGES </w:t>
      </w:r>
      <w:r>
        <w:t>the Republic of Cameroon and the Republic of the Sudan to fully implement the Recommendations included in the ACERWC Decisions;</w:t>
      </w:r>
    </w:p>
    <w:p w:rsidR="00832EA8" w:rsidRDefault="008168FC" w:rsidP="008168FC">
      <w:pPr>
        <w:pStyle w:val="BodyText"/>
        <w:tabs>
          <w:tab w:val="left" w:pos="713"/>
        </w:tabs>
        <w:spacing w:after="260"/>
        <w:ind w:left="700" w:hanging="700"/>
        <w:jc w:val="both"/>
      </w:pPr>
      <w:bookmarkStart w:id="9" w:name="bookmark9"/>
      <w:bookmarkEnd w:id="9"/>
      <w:r>
        <w:rPr>
          <w:b/>
          <w:bCs/>
        </w:rPr>
        <w:t>7.</w:t>
      </w:r>
      <w:r>
        <w:rPr>
          <w:b/>
          <w:bCs/>
        </w:rPr>
        <w:tab/>
      </w:r>
      <w:r>
        <w:rPr>
          <w:b/>
          <w:bCs/>
        </w:rPr>
        <w:t xml:space="preserve">WELCOMES </w:t>
      </w:r>
      <w:r>
        <w:t xml:space="preserve">the ACERWC’s findings and recommendations of the continental study on children on the move, and </w:t>
      </w:r>
      <w:r>
        <w:rPr>
          <w:b/>
          <w:bCs/>
        </w:rPr>
        <w:t xml:space="preserve">ENCOURAGES </w:t>
      </w:r>
      <w:r>
        <w:t>Member State</w:t>
      </w:r>
      <w:r>
        <w:t>s to widely disseminate the outcome of the study and work towards their implementation;</w:t>
      </w:r>
    </w:p>
    <w:p w:rsidR="00832EA8" w:rsidRDefault="008168FC" w:rsidP="008168FC">
      <w:pPr>
        <w:pStyle w:val="BodyText"/>
        <w:tabs>
          <w:tab w:val="left" w:pos="713"/>
        </w:tabs>
        <w:spacing w:after="260"/>
        <w:ind w:left="700" w:hanging="700"/>
        <w:jc w:val="both"/>
      </w:pPr>
      <w:bookmarkStart w:id="10" w:name="bookmark10"/>
      <w:bookmarkEnd w:id="10"/>
      <w:r>
        <w:rPr>
          <w:b/>
          <w:bCs/>
        </w:rPr>
        <w:t>8.</w:t>
      </w:r>
      <w:r>
        <w:rPr>
          <w:b/>
          <w:bCs/>
        </w:rPr>
        <w:tab/>
      </w:r>
      <w:r>
        <w:rPr>
          <w:b/>
          <w:bCs/>
        </w:rPr>
        <w:t xml:space="preserve">URGES </w:t>
      </w:r>
      <w:r>
        <w:t>Member States to fully implement the “Africa’s Agenda for Children 2040: Fostering an Africa Fit for Children” adopted by Decision EX.CL/Dec.977(XXXI) of June 201</w:t>
      </w:r>
      <w:r>
        <w:t xml:space="preserve">8 and </w:t>
      </w:r>
      <w:r>
        <w:rPr>
          <w:b/>
          <w:bCs/>
        </w:rPr>
        <w:t xml:space="preserve">COMMENDS </w:t>
      </w:r>
      <w:r>
        <w:t>the efforts of the ACERWC in the successful finalization of a continental study on ‘mapping the situation of children on the move within Africa;</w:t>
      </w:r>
    </w:p>
    <w:p w:rsidR="00832EA8" w:rsidRDefault="008168FC" w:rsidP="008168FC">
      <w:pPr>
        <w:pStyle w:val="BodyText"/>
        <w:tabs>
          <w:tab w:val="left" w:pos="713"/>
        </w:tabs>
        <w:spacing w:after="260"/>
        <w:ind w:left="700" w:hanging="700"/>
        <w:jc w:val="both"/>
      </w:pPr>
      <w:bookmarkStart w:id="11" w:name="bookmark11"/>
      <w:bookmarkEnd w:id="11"/>
      <w:r>
        <w:rPr>
          <w:b/>
          <w:bCs/>
        </w:rPr>
        <w:t>9.</w:t>
      </w:r>
      <w:r>
        <w:rPr>
          <w:b/>
          <w:bCs/>
        </w:rPr>
        <w:tab/>
      </w:r>
      <w:r>
        <w:rPr>
          <w:b/>
          <w:bCs/>
        </w:rPr>
        <w:t xml:space="preserve">REQUESTS </w:t>
      </w:r>
      <w:r>
        <w:t>the Commission, in consultation with the AUCIL, to expedite the required study concerni</w:t>
      </w:r>
      <w:r>
        <w:t>ng the suggested amendment of Article 5(1) of the Protocol on the African Charter on Human and Peoples’ Rights on the Establishment of the African Court on Human and Peoples’ Rights to grant ACERWC direct access to AfCHPR;</w:t>
      </w:r>
    </w:p>
    <w:p w:rsidR="00832EA8" w:rsidRDefault="008168FC" w:rsidP="008168FC">
      <w:pPr>
        <w:pStyle w:val="BodyText"/>
        <w:tabs>
          <w:tab w:val="left" w:pos="707"/>
        </w:tabs>
        <w:spacing w:line="233" w:lineRule="auto"/>
        <w:ind w:left="700" w:hanging="700"/>
        <w:jc w:val="both"/>
      </w:pPr>
      <w:bookmarkStart w:id="12" w:name="bookmark12"/>
      <w:bookmarkEnd w:id="12"/>
      <w:r>
        <w:rPr>
          <w:b/>
          <w:bCs/>
        </w:rPr>
        <w:lastRenderedPageBreak/>
        <w:t>10.</w:t>
      </w:r>
      <w:r>
        <w:rPr>
          <w:b/>
          <w:bCs/>
        </w:rPr>
        <w:tab/>
      </w:r>
      <w:r>
        <w:rPr>
          <w:b/>
          <w:bCs/>
        </w:rPr>
        <w:t xml:space="preserve">DECIDES </w:t>
      </w:r>
      <w:r>
        <w:t>to fund the programme bud</w:t>
      </w:r>
      <w:r>
        <w:t>get of ACERWC from Member States contributions starting from the 2020 budget year, in accordance with Decision Assembly/AU/Dec.561 (XXVI) of January 2015;</w:t>
      </w:r>
    </w:p>
    <w:p w:rsidR="00832EA8" w:rsidRDefault="008168FC" w:rsidP="008168FC">
      <w:pPr>
        <w:pStyle w:val="BodyText"/>
        <w:tabs>
          <w:tab w:val="left" w:pos="707"/>
        </w:tabs>
        <w:spacing w:line="233" w:lineRule="auto"/>
        <w:ind w:left="700" w:hanging="700"/>
        <w:jc w:val="both"/>
      </w:pPr>
      <w:bookmarkStart w:id="13" w:name="bookmark13"/>
      <w:bookmarkEnd w:id="13"/>
      <w:r>
        <w:rPr>
          <w:b/>
          <w:bCs/>
        </w:rPr>
        <w:t>11.</w:t>
      </w:r>
      <w:r>
        <w:rPr>
          <w:b/>
          <w:bCs/>
        </w:rPr>
        <w:tab/>
      </w:r>
      <w:r>
        <w:rPr>
          <w:b/>
          <w:bCs/>
        </w:rPr>
        <w:t xml:space="preserve">REQUESTS </w:t>
      </w:r>
      <w:r>
        <w:t>the Commission, in collaboration with the Kingdom of Lesotho, to expedite the process of imp</w:t>
      </w:r>
      <w:r>
        <w:t>lementing Executive Council Decision EX.CL/Dec. 1010(XXXI 11) on the Relocation of the Secretariat;</w:t>
      </w:r>
    </w:p>
    <w:p w:rsidR="00832EA8" w:rsidRDefault="008168FC" w:rsidP="008168FC">
      <w:pPr>
        <w:pStyle w:val="BodyText"/>
        <w:tabs>
          <w:tab w:val="left" w:pos="707"/>
        </w:tabs>
        <w:spacing w:line="214" w:lineRule="auto"/>
        <w:ind w:left="700" w:hanging="700"/>
        <w:jc w:val="both"/>
      </w:pPr>
      <w:bookmarkStart w:id="14" w:name="bookmark14"/>
      <w:bookmarkEnd w:id="14"/>
      <w:r>
        <w:rPr>
          <w:b/>
          <w:bCs/>
        </w:rPr>
        <w:t>12.</w:t>
      </w:r>
      <w:r>
        <w:rPr>
          <w:b/>
          <w:bCs/>
        </w:rPr>
        <w:tab/>
      </w:r>
      <w:r>
        <w:rPr>
          <w:b/>
          <w:bCs/>
        </w:rPr>
        <w:t xml:space="preserve">CALLS UPON </w:t>
      </w:r>
      <w:r>
        <w:t>the Kingdom of Lesotho to speed up the construction of the Headquarters of the ACERWC.</w:t>
      </w:r>
    </w:p>
    <w:sectPr w:rsidR="00832EA8">
      <w:pgSz w:w="12240" w:h="16834"/>
      <w:pgMar w:top="1938" w:right="1400" w:bottom="2229" w:left="141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168FC">
      <w:r>
        <w:separator/>
      </w:r>
    </w:p>
  </w:endnote>
  <w:endnote w:type="continuationSeparator" w:id="0">
    <w:p w:rsidR="00000000" w:rsidRDefault="0081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2EA8" w:rsidRDefault="008168FC">
      <w:r>
        <w:separator/>
      </w:r>
    </w:p>
  </w:footnote>
  <w:footnote w:type="continuationSeparator" w:id="0">
    <w:p w:rsidR="00832EA8" w:rsidRDefault="00816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2E72"/>
    <w:multiLevelType w:val="multilevel"/>
    <w:tmpl w:val="31DAD7F4"/>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07276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A8"/>
    <w:rsid w:val="008168FC"/>
    <w:rsid w:val="0083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2022-10-26T06:27:00Z</dcterms:created>
  <dcterms:modified xsi:type="dcterms:W3CDTF">2022-10-26T06:27:00Z</dcterms:modified>
</cp:coreProperties>
</file>