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4DD" w:rsidRDefault="00B91311">
      <w:pPr>
        <w:pStyle w:val="BodyText"/>
        <w:spacing w:after="0"/>
        <w:jc w:val="center"/>
      </w:pPr>
      <w:r>
        <w:rPr>
          <w:b/>
          <w:bCs/>
        </w:rPr>
        <w:t>DECISION ON THE REPORT OF THE UNION AND ITS ORGANS FOR</w:t>
      </w:r>
      <w:r>
        <w:rPr>
          <w:b/>
          <w:bCs/>
        </w:rPr>
        <w:br/>
        <w:t>THE YEAR 2018 AND THE INTRODUCTORY NOTE OF</w:t>
      </w:r>
      <w:r>
        <w:rPr>
          <w:b/>
          <w:bCs/>
        </w:rPr>
        <w:br/>
        <w:t>THE CHAIRPERSON OF THE COMMISSION</w:t>
      </w:r>
    </w:p>
    <w:p w:rsidR="002574DD" w:rsidRDefault="00B91311">
      <w:pPr>
        <w:pStyle w:val="BodyText"/>
        <w:spacing w:after="260"/>
        <w:jc w:val="center"/>
      </w:pPr>
      <w:r>
        <w:rPr>
          <w:b/>
          <w:bCs/>
        </w:rPr>
        <w:t>Doc. EX.CL/1134(XXXIV)</w:t>
      </w:r>
    </w:p>
    <w:p w:rsidR="002574DD" w:rsidRDefault="00B91311">
      <w:pPr>
        <w:pStyle w:val="Heading10"/>
        <w:keepNext/>
        <w:keepLines/>
        <w:spacing w:after="260"/>
      </w:pPr>
      <w:bookmarkStart w:id="0" w:name="bookmark0"/>
      <w:bookmarkStart w:id="1" w:name="bookmark1"/>
      <w:bookmarkStart w:id="2" w:name="bookmark2"/>
      <w:r>
        <w:t>The Executive Council,</w:t>
      </w:r>
      <w:bookmarkEnd w:id="0"/>
      <w:bookmarkEnd w:id="1"/>
      <w:bookmarkEnd w:id="2"/>
    </w:p>
    <w:p w:rsidR="002574DD" w:rsidRDefault="00B91311" w:rsidP="00B91311">
      <w:pPr>
        <w:pStyle w:val="BodyText"/>
        <w:tabs>
          <w:tab w:val="left" w:pos="721"/>
        </w:tabs>
        <w:spacing w:after="260"/>
        <w:ind w:left="760" w:hanging="760"/>
        <w:jc w:val="both"/>
      </w:pPr>
      <w:bookmarkStart w:id="3" w:name="bookmark3"/>
      <w:bookmarkEnd w:id="3"/>
      <w:r>
        <w:rPr>
          <w:b/>
          <w:bCs/>
        </w:rPr>
        <w:t>1.</w:t>
      </w:r>
      <w:r>
        <w:rPr>
          <w:b/>
          <w:bCs/>
        </w:rPr>
        <w:tab/>
      </w:r>
      <w:r>
        <w:rPr>
          <w:b/>
          <w:bCs/>
        </w:rPr>
        <w:t xml:space="preserve">TAKES NOTE </w:t>
      </w:r>
      <w:r>
        <w:t xml:space="preserve">of the Annual Report on the Activities of the Union and its </w:t>
      </w:r>
      <w:r>
        <w:t>Organs for the year 2018, as well as the Introductory Note of the Chairperson of the Commission, covering the period from July 2018 to January 2019;</w:t>
      </w:r>
    </w:p>
    <w:p w:rsidR="002574DD" w:rsidRDefault="00B91311" w:rsidP="00B91311">
      <w:pPr>
        <w:pStyle w:val="BodyText"/>
        <w:tabs>
          <w:tab w:val="left" w:pos="721"/>
        </w:tabs>
        <w:spacing w:after="260"/>
        <w:ind w:left="760" w:hanging="760"/>
        <w:jc w:val="both"/>
      </w:pPr>
      <w:bookmarkStart w:id="4" w:name="bookmark4"/>
      <w:bookmarkEnd w:id="4"/>
      <w:r>
        <w:rPr>
          <w:b/>
          <w:bCs/>
        </w:rPr>
        <w:t>2.</w:t>
      </w:r>
      <w:r>
        <w:rPr>
          <w:b/>
          <w:bCs/>
        </w:rPr>
        <w:tab/>
      </w:r>
      <w:r>
        <w:rPr>
          <w:b/>
          <w:bCs/>
        </w:rPr>
        <w:t xml:space="preserve">COMMENDS </w:t>
      </w:r>
      <w:r>
        <w:t>the Chairperson of the Commission and the Heads of other AU Organs and Specialized Agencies for th</w:t>
      </w:r>
      <w:r>
        <w:t>e comprehensive account of their activities and, in particular, for the focus on results and the impact of these actions on the lives of African people;</w:t>
      </w:r>
    </w:p>
    <w:p w:rsidR="002574DD" w:rsidRDefault="00B91311" w:rsidP="00B91311">
      <w:pPr>
        <w:pStyle w:val="BodyText"/>
        <w:tabs>
          <w:tab w:val="left" w:pos="721"/>
        </w:tabs>
        <w:spacing w:after="260"/>
        <w:ind w:left="760" w:hanging="760"/>
        <w:jc w:val="both"/>
      </w:pPr>
      <w:bookmarkStart w:id="5" w:name="bookmark5"/>
      <w:bookmarkEnd w:id="5"/>
      <w:r>
        <w:rPr>
          <w:b/>
          <w:bCs/>
        </w:rPr>
        <w:t>3.</w:t>
      </w:r>
      <w:r>
        <w:rPr>
          <w:b/>
          <w:bCs/>
        </w:rPr>
        <w:tab/>
      </w:r>
      <w:r>
        <w:rPr>
          <w:b/>
          <w:bCs/>
        </w:rPr>
        <w:t xml:space="preserve">WELCOMES </w:t>
      </w:r>
      <w:r>
        <w:t>the efforts exerted by the Commission and other relevant stakeholders, in furtherance of the f</w:t>
      </w:r>
      <w:r>
        <w:t xml:space="preserve">lagship projects of the First Ten-Year Implementation Plan of Agenda 2063, notably the African Continental Free Trade Area (AfCFTA), the Single African Air Transport Market (SAATM), and the Protocol on Free Movement of Persons, the Right of Residence, and </w:t>
      </w:r>
      <w:r>
        <w:t xml:space="preserve">the Right of Establishment; and </w:t>
      </w:r>
      <w:r>
        <w:rPr>
          <w:b/>
          <w:bCs/>
        </w:rPr>
        <w:t xml:space="preserve">ENCOURAGES </w:t>
      </w:r>
      <w:r>
        <w:t xml:space="preserve">the acceleration of these efforts, and </w:t>
      </w:r>
      <w:r>
        <w:rPr>
          <w:b/>
          <w:bCs/>
        </w:rPr>
        <w:t xml:space="preserve">CALLS FOR </w:t>
      </w:r>
      <w:r>
        <w:t>the early operationalization of the African financial institutions, as a key element for the successful implementation of the integration process;</w:t>
      </w:r>
    </w:p>
    <w:p w:rsidR="002574DD" w:rsidRDefault="00B91311" w:rsidP="00B91311">
      <w:pPr>
        <w:pStyle w:val="BodyText"/>
        <w:tabs>
          <w:tab w:val="left" w:pos="721"/>
        </w:tabs>
        <w:spacing w:after="260"/>
        <w:ind w:left="760" w:hanging="760"/>
        <w:jc w:val="both"/>
      </w:pPr>
      <w:bookmarkStart w:id="6" w:name="bookmark6"/>
      <w:bookmarkEnd w:id="6"/>
      <w:r>
        <w:rPr>
          <w:b/>
          <w:bCs/>
        </w:rPr>
        <w:t>4.</w:t>
      </w:r>
      <w:r>
        <w:rPr>
          <w:b/>
          <w:bCs/>
        </w:rPr>
        <w:tab/>
      </w:r>
      <w:r>
        <w:rPr>
          <w:b/>
          <w:bCs/>
        </w:rPr>
        <w:t xml:space="preserve">REITERATES </w:t>
      </w:r>
      <w:r>
        <w:t>its su</w:t>
      </w:r>
      <w:r>
        <w:t>pport to the Ministerial Committee on Agenda 2063 and looks forward to the leadership of President Alassane Dramane Ouattara, in his capacity as the Leader, to help accelerate the implementation of all aspects of Agenda 2063, including its domestication by</w:t>
      </w:r>
      <w:r>
        <w:t xml:space="preserve"> all Member States, as well as monitoring, evaluation and domestic resource mobilization;</w:t>
      </w:r>
    </w:p>
    <w:p w:rsidR="002574DD" w:rsidRDefault="00B91311" w:rsidP="00B91311">
      <w:pPr>
        <w:pStyle w:val="BodyText"/>
        <w:tabs>
          <w:tab w:val="left" w:pos="721"/>
        </w:tabs>
        <w:spacing w:after="260"/>
        <w:ind w:left="760" w:hanging="760"/>
        <w:jc w:val="both"/>
      </w:pPr>
      <w:bookmarkStart w:id="7" w:name="bookmark7"/>
      <w:bookmarkEnd w:id="7"/>
      <w:r>
        <w:rPr>
          <w:b/>
          <w:bCs/>
        </w:rPr>
        <w:t>5.</w:t>
      </w:r>
      <w:r>
        <w:rPr>
          <w:b/>
          <w:bCs/>
        </w:rPr>
        <w:tab/>
      </w:r>
      <w:r>
        <w:rPr>
          <w:b/>
          <w:bCs/>
        </w:rPr>
        <w:t xml:space="preserve">COMMENDS </w:t>
      </w:r>
      <w:r>
        <w:t>the Commission, and other AU Organs, for their concrete contributions towards the development of the Continent in areas, such as education and research, publ</w:t>
      </w:r>
      <w:r>
        <w:t xml:space="preserve">ic and animal health, infrastructure and energy, agriculture and food safety, trade and investment, as well as, on the transversal issues of gender and youth and, </w:t>
      </w:r>
      <w:r>
        <w:rPr>
          <w:b/>
          <w:bCs/>
        </w:rPr>
        <w:t xml:space="preserve">WELCOMES </w:t>
      </w:r>
      <w:r>
        <w:t>the appointment of the Youth Envoy, Ms. Aya Chebbi of Tunisia, together with the est</w:t>
      </w:r>
      <w:r>
        <w:t>ablishment of a Youth Advisory Council, and looks forward to the implementation of the envisaged steps highlighted in the reports submitted to the Assembly;</w:t>
      </w:r>
    </w:p>
    <w:p w:rsidR="002574DD" w:rsidRDefault="00B91311" w:rsidP="00B91311">
      <w:pPr>
        <w:pStyle w:val="BodyText"/>
        <w:tabs>
          <w:tab w:val="left" w:pos="721"/>
        </w:tabs>
        <w:spacing w:after="260"/>
        <w:ind w:left="760" w:hanging="760"/>
        <w:jc w:val="both"/>
      </w:pPr>
      <w:bookmarkStart w:id="8" w:name="bookmark8"/>
      <w:bookmarkEnd w:id="8"/>
      <w:r>
        <w:rPr>
          <w:b/>
          <w:bCs/>
        </w:rPr>
        <w:t>6.</w:t>
      </w:r>
      <w:r>
        <w:rPr>
          <w:b/>
          <w:bCs/>
        </w:rPr>
        <w:tab/>
      </w:r>
      <w:r>
        <w:rPr>
          <w:b/>
          <w:bCs/>
        </w:rPr>
        <w:t xml:space="preserve">NOTES WITH SATISFACTION </w:t>
      </w:r>
      <w:r>
        <w:t xml:space="preserve">the efforts made during the period under review towards the enhancement of </w:t>
      </w:r>
      <w:r>
        <w:t xml:space="preserve">democracy, respect for human rights, and promotion of good governance; and </w:t>
      </w:r>
      <w:r>
        <w:rPr>
          <w:b/>
          <w:bCs/>
        </w:rPr>
        <w:t xml:space="preserve">COMMENDS </w:t>
      </w:r>
      <w:r>
        <w:t>the Leader of the Theme of the Year 2018, President Muhammadu Buhari of Nigeria, for his commitment and initiatives taken in the fight against corruption.</w:t>
      </w:r>
    </w:p>
    <w:p w:rsidR="002574DD" w:rsidRDefault="00B91311" w:rsidP="00B91311">
      <w:pPr>
        <w:pStyle w:val="BodyText"/>
        <w:tabs>
          <w:tab w:val="left" w:pos="718"/>
        </w:tabs>
        <w:spacing w:after="260" w:line="233" w:lineRule="auto"/>
        <w:ind w:left="760" w:hanging="760"/>
        <w:jc w:val="both"/>
      </w:pPr>
      <w:bookmarkStart w:id="9" w:name="bookmark9"/>
      <w:bookmarkEnd w:id="9"/>
      <w:r>
        <w:rPr>
          <w:b/>
          <w:bCs/>
        </w:rPr>
        <w:lastRenderedPageBreak/>
        <w:t>7.</w:t>
      </w:r>
      <w:r>
        <w:rPr>
          <w:b/>
          <w:bCs/>
        </w:rPr>
        <w:tab/>
      </w:r>
      <w:r>
        <w:rPr>
          <w:b/>
          <w:bCs/>
        </w:rPr>
        <w:t xml:space="preserve">WELCOMES </w:t>
      </w:r>
      <w:r>
        <w:t>the prog</w:t>
      </w:r>
      <w:r>
        <w:t xml:space="preserve">ress made towards Silencing the Guns by 2020 and the efforts of the High Representative, and </w:t>
      </w:r>
      <w:r>
        <w:rPr>
          <w:b/>
          <w:bCs/>
        </w:rPr>
        <w:t xml:space="preserve">CALLS FOR </w:t>
      </w:r>
      <w:r>
        <w:t>renewed support in order to achieve this goal;</w:t>
      </w:r>
    </w:p>
    <w:p w:rsidR="002574DD" w:rsidRDefault="00B91311" w:rsidP="00B91311">
      <w:pPr>
        <w:pStyle w:val="BodyText"/>
        <w:tabs>
          <w:tab w:val="left" w:pos="718"/>
        </w:tabs>
        <w:spacing w:after="260"/>
        <w:ind w:left="760" w:hanging="760"/>
        <w:jc w:val="both"/>
      </w:pPr>
      <w:bookmarkStart w:id="10" w:name="bookmark10"/>
      <w:bookmarkEnd w:id="10"/>
      <w:r>
        <w:rPr>
          <w:b/>
          <w:bCs/>
        </w:rPr>
        <w:t>8.</w:t>
      </w:r>
      <w:r>
        <w:rPr>
          <w:b/>
          <w:bCs/>
        </w:rPr>
        <w:tab/>
      </w:r>
      <w:r>
        <w:rPr>
          <w:b/>
          <w:bCs/>
        </w:rPr>
        <w:t xml:space="preserve">TAKES NOTE </w:t>
      </w:r>
      <w:r>
        <w:t>with satisfaction of the follow-up made by the Commission on specific decisions of the Policy O</w:t>
      </w:r>
      <w:r>
        <w:t xml:space="preserve">rgans, namely the decolonization of the Chagos Archipelago, the relationship with the International Criminal Court, and the Hissene Habre trial, and </w:t>
      </w:r>
      <w:r>
        <w:rPr>
          <w:b/>
          <w:bCs/>
        </w:rPr>
        <w:t xml:space="preserve">ENCOURAGES </w:t>
      </w:r>
      <w:r>
        <w:t>the pursuit of these efforts;</w:t>
      </w:r>
    </w:p>
    <w:p w:rsidR="002574DD" w:rsidRDefault="00B91311" w:rsidP="00B91311">
      <w:pPr>
        <w:pStyle w:val="BodyText"/>
        <w:tabs>
          <w:tab w:val="left" w:pos="718"/>
        </w:tabs>
        <w:spacing w:after="260"/>
        <w:ind w:left="760" w:hanging="760"/>
        <w:jc w:val="both"/>
      </w:pPr>
      <w:bookmarkStart w:id="11" w:name="bookmark11"/>
      <w:bookmarkEnd w:id="11"/>
      <w:r>
        <w:rPr>
          <w:b/>
          <w:bCs/>
        </w:rPr>
        <w:t>9.</w:t>
      </w:r>
      <w:r>
        <w:rPr>
          <w:b/>
          <w:bCs/>
        </w:rPr>
        <w:tab/>
      </w:r>
      <w:r>
        <w:rPr>
          <w:b/>
          <w:bCs/>
        </w:rPr>
        <w:t xml:space="preserve">REQUESTS </w:t>
      </w:r>
      <w:r>
        <w:t>the Chairperson of the Commission to pursue and intensify</w:t>
      </w:r>
      <w:r>
        <w:t xml:space="preserve"> his efforts towards enhancing the visibility and increase awareness within Member States and the African public in general of the concrete actions mentioned in paragraphs 2, 3, 5, 7 and 8 of this Decision; </w:t>
      </w:r>
      <w:r>
        <w:rPr>
          <w:b/>
          <w:bCs/>
        </w:rPr>
        <w:t xml:space="preserve">WELCOMES </w:t>
      </w:r>
      <w:r>
        <w:t>the submission to the PRC of specific re</w:t>
      </w:r>
      <w:r>
        <w:t xml:space="preserve">ports on the programmes and activities of the Commission and other AU Organs and </w:t>
      </w:r>
      <w:r>
        <w:rPr>
          <w:b/>
          <w:bCs/>
        </w:rPr>
        <w:t xml:space="preserve">URGES </w:t>
      </w:r>
      <w:r>
        <w:t>the continuation of this practice;</w:t>
      </w:r>
    </w:p>
    <w:p w:rsidR="002574DD" w:rsidRDefault="00B91311" w:rsidP="00B91311">
      <w:pPr>
        <w:pStyle w:val="BodyText"/>
        <w:tabs>
          <w:tab w:val="left" w:pos="718"/>
        </w:tabs>
        <w:spacing w:after="260"/>
        <w:ind w:left="760" w:hanging="760"/>
        <w:jc w:val="both"/>
      </w:pPr>
      <w:bookmarkStart w:id="12" w:name="bookmark12"/>
      <w:bookmarkEnd w:id="12"/>
      <w:r>
        <w:rPr>
          <w:b/>
          <w:bCs/>
        </w:rPr>
        <w:t>10.</w:t>
      </w:r>
      <w:r>
        <w:rPr>
          <w:b/>
          <w:bCs/>
        </w:rPr>
        <w:tab/>
      </w:r>
      <w:r>
        <w:rPr>
          <w:b/>
          <w:bCs/>
        </w:rPr>
        <w:t xml:space="preserve">CALLS ON </w:t>
      </w:r>
      <w:r>
        <w:t>Member States, to continue to work closely with the Commission and other AU Organs and Specialized Agencies to address the ch</w:t>
      </w:r>
      <w:r>
        <w:t xml:space="preserve">allenges and issues raised in the Report and the Introductory Note, including the ratification and domestication of legal instruments, the implementation of the decisions and policies of the Union, and the provision of adequate funding to enable AU Organs </w:t>
      </w:r>
      <w:r>
        <w:t>and Specialized Agencies to carry out their mandates effectively while reducing their dependence on external sources.</w:t>
      </w:r>
    </w:p>
    <w:sectPr w:rsidR="002574DD">
      <w:pgSz w:w="12240" w:h="16834"/>
      <w:pgMar w:top="1947" w:right="1363" w:bottom="2475" w:left="13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91311">
      <w:r>
        <w:separator/>
      </w:r>
    </w:p>
  </w:endnote>
  <w:endnote w:type="continuationSeparator" w:id="0">
    <w:p w:rsidR="00000000" w:rsidRDefault="00B9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4DD" w:rsidRDefault="00B91311">
      <w:r>
        <w:separator/>
      </w:r>
    </w:p>
  </w:footnote>
  <w:footnote w:type="continuationSeparator" w:id="0">
    <w:p w:rsidR="002574DD" w:rsidRDefault="00B9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2F77"/>
    <w:multiLevelType w:val="multilevel"/>
    <w:tmpl w:val="30D25D2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959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DD"/>
    <w:rsid w:val="002574DD"/>
    <w:rsid w:val="00B9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2022-10-26T06:27:00Z</dcterms:modified>
</cp:coreProperties>
</file>