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7FC" w:rsidRDefault="00F22145">
      <w:pPr>
        <w:pStyle w:val="Heading10"/>
        <w:keepNext/>
        <w:keepLines/>
        <w:spacing w:before="180" w:after="0"/>
        <w:jc w:val="center"/>
      </w:pPr>
      <w:bookmarkStart w:id="0" w:name="bookmark0"/>
      <w:bookmarkStart w:id="1" w:name="bookmark1"/>
      <w:bookmarkStart w:id="2" w:name="bookmark2"/>
      <w:r>
        <w:t>DECISION ON THE ACTIVITY REPORT OF THE AFRICAN UNION</w:t>
      </w:r>
      <w:r>
        <w:br/>
        <w:t>COMMISSION ON INTERNATIONAL LAW (AUCIL)</w:t>
      </w:r>
      <w:r>
        <w:br/>
        <w:t>Doc. EX.CL/1208(XXXVI)</w:t>
      </w:r>
      <w:bookmarkEnd w:id="0"/>
      <w:bookmarkEnd w:id="1"/>
      <w:bookmarkEnd w:id="2"/>
    </w:p>
    <w:p w:rsidR="009F47FC" w:rsidRDefault="00F22145">
      <w:pPr>
        <w:pStyle w:val="Heading10"/>
        <w:keepNext/>
        <w:keepLines/>
        <w:spacing w:after="280"/>
        <w:ind w:firstLine="40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9F47FC" w:rsidRDefault="00F22145" w:rsidP="00F22145">
      <w:pPr>
        <w:pStyle w:val="BodyText"/>
        <w:tabs>
          <w:tab w:val="left" w:pos="1123"/>
        </w:tabs>
        <w:ind w:left="1120" w:hanging="72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Activity Report of the African Commission on International Law (AUCIL) for the period from 1 </w:t>
      </w:r>
      <w:r>
        <w:t>January to 31 December 2019, and the recommendations therein;</w:t>
      </w:r>
    </w:p>
    <w:p w:rsidR="009F47FC" w:rsidRDefault="00F22145" w:rsidP="00F22145">
      <w:pPr>
        <w:pStyle w:val="BodyText"/>
        <w:tabs>
          <w:tab w:val="left" w:pos="1123"/>
        </w:tabs>
        <w:spacing w:line="230" w:lineRule="auto"/>
        <w:ind w:left="1120" w:hanging="72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FURTHER TAKES NOTE </w:t>
      </w:r>
      <w:r>
        <w:t>that 2020 marks the Tenth (10th) Anniversary of the operationalization of the AUCIL;</w:t>
      </w:r>
    </w:p>
    <w:p w:rsidR="009F47FC" w:rsidRDefault="00F22145" w:rsidP="00F22145">
      <w:pPr>
        <w:pStyle w:val="BodyText"/>
        <w:tabs>
          <w:tab w:val="left" w:pos="1123"/>
        </w:tabs>
        <w:ind w:left="1120" w:hanging="72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INVITES </w:t>
      </w:r>
      <w:r>
        <w:t xml:space="preserve">the Specialised Technical Committee (STC) on Justice and Legal Affairs to include </w:t>
      </w:r>
      <w:r>
        <w:t>a permanent agenda item on the “Progressive Development and Codification of International and African Union Law”;</w:t>
      </w:r>
    </w:p>
    <w:p w:rsidR="009F47FC" w:rsidRDefault="00F22145" w:rsidP="00F22145">
      <w:pPr>
        <w:pStyle w:val="BodyText"/>
        <w:tabs>
          <w:tab w:val="left" w:pos="1123"/>
        </w:tabs>
        <w:ind w:left="1120" w:hanging="72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Study and recommendations on the amendments of AUCIL Statute; and, in accordance with its Article 26 of the AUCIL Statute, </w:t>
      </w:r>
      <w:r>
        <w:rPr>
          <w:b/>
          <w:bCs/>
        </w:rPr>
        <w:t>D</w:t>
      </w:r>
      <w:r>
        <w:rPr>
          <w:b/>
          <w:bCs/>
        </w:rPr>
        <w:t xml:space="preserve">ECIDES </w:t>
      </w:r>
      <w:r>
        <w:t>their transmission to the STC on Justice and Legal Affairs for consideration;</w:t>
      </w:r>
    </w:p>
    <w:p w:rsidR="009F47FC" w:rsidRDefault="00F22145" w:rsidP="00F22145">
      <w:pPr>
        <w:pStyle w:val="BodyText"/>
        <w:tabs>
          <w:tab w:val="left" w:pos="1123"/>
        </w:tabs>
        <w:ind w:left="1120" w:hanging="720"/>
        <w:jc w:val="both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the offer of Equatorial Guinea to host the AUCIL Secretariat and </w:t>
      </w:r>
      <w:r>
        <w:rPr>
          <w:b/>
          <w:bCs/>
        </w:rPr>
        <w:t xml:space="preserve">CALLS ON </w:t>
      </w:r>
      <w:r>
        <w:t>the PRC and the AUC, to expeditiously finalize the structure of an independent AUCIL Secr</w:t>
      </w:r>
      <w:r>
        <w:t>etariat, the process of its relocation, and submit a report upon the adoption of the amendments;</w:t>
      </w:r>
    </w:p>
    <w:p w:rsidR="009F47FC" w:rsidRDefault="00F22145" w:rsidP="00F22145">
      <w:pPr>
        <w:pStyle w:val="BodyText"/>
        <w:tabs>
          <w:tab w:val="left" w:pos="1123"/>
        </w:tabs>
        <w:ind w:left="1120" w:hanging="720"/>
        <w:jc w:val="both"/>
      </w:pPr>
      <w:bookmarkStart w:id="11" w:name="bookmark11"/>
      <w:bookmarkEnd w:id="1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AUCIL for the timely completion of the study on the legal implications of amending Article 5(1) of the Protocol on the Establishment of the A</w:t>
      </w:r>
      <w:r>
        <w:t xml:space="preserve">frican Court on Human and Peoples’ Rights to grant the African Committee of Experts on the Rights and Welfare of the Child direct access to the Court, and </w:t>
      </w:r>
      <w:r>
        <w:rPr>
          <w:b/>
          <w:bCs/>
        </w:rPr>
        <w:t xml:space="preserve">DECIDES </w:t>
      </w:r>
      <w:r>
        <w:t>its transmission to the STC on Justice and Legal Affairs for consideration, prior to the subm</w:t>
      </w:r>
      <w:r>
        <w:t>ission of concrete recommendations on the way forward to the Executive Council.</w:t>
      </w:r>
    </w:p>
    <w:sectPr w:rsidR="009F47FC">
      <w:pgSz w:w="12240" w:h="16834"/>
      <w:pgMar w:top="1949" w:right="1375" w:bottom="2045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22145">
      <w:r>
        <w:separator/>
      </w:r>
    </w:p>
  </w:endnote>
  <w:endnote w:type="continuationSeparator" w:id="0">
    <w:p w:rsidR="00000000" w:rsidRDefault="00F2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7FC" w:rsidRDefault="00F22145">
      <w:r>
        <w:separator/>
      </w:r>
    </w:p>
  </w:footnote>
  <w:footnote w:type="continuationSeparator" w:id="0">
    <w:p w:rsidR="009F47FC" w:rsidRDefault="00F2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86F"/>
    <w:multiLevelType w:val="multilevel"/>
    <w:tmpl w:val="871009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54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FC"/>
    <w:rsid w:val="009F47FC"/>
    <w:rsid w:val="00F2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