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F7B6A" w:rsidRDefault="007E36DA">
      <w:pPr>
        <w:pStyle w:val="BodyText"/>
        <w:spacing w:after="0" w:line="283" w:lineRule="auto"/>
        <w:jc w:val="center"/>
      </w:pPr>
      <w:r>
        <w:rPr>
          <w:b/>
          <w:bCs/>
        </w:rPr>
        <w:t>DECISION ON THE ACTIVITY REPORT OF THE AFRICAN UNION ADVISORY</w:t>
      </w:r>
      <w:r>
        <w:rPr>
          <w:b/>
          <w:bCs/>
        </w:rPr>
        <w:br/>
        <w:t>BOARD ON CORRUPTION</w:t>
      </w:r>
    </w:p>
    <w:p w:rsidR="006F7B6A" w:rsidRDefault="007E36DA">
      <w:pPr>
        <w:pStyle w:val="BodyText"/>
        <w:spacing w:line="283" w:lineRule="auto"/>
        <w:jc w:val="center"/>
      </w:pPr>
      <w:r>
        <w:rPr>
          <w:b/>
          <w:bCs/>
        </w:rPr>
        <w:t>Doc.EX.CL/1210(XXXVI)</w:t>
      </w:r>
    </w:p>
    <w:p w:rsidR="006F7B6A" w:rsidRDefault="007E36DA">
      <w:pPr>
        <w:pStyle w:val="Heading10"/>
        <w:keepNext/>
        <w:keepLines/>
        <w:spacing w:after="340"/>
        <w:ind w:firstLine="420"/>
        <w:jc w:val="both"/>
      </w:pPr>
      <w:bookmarkStart w:id="0" w:name="bookmark0"/>
      <w:bookmarkStart w:id="1" w:name="bookmark1"/>
      <w:bookmarkStart w:id="2" w:name="bookmark2"/>
      <w:r>
        <w:t>The Executive Council,</w:t>
      </w:r>
      <w:bookmarkEnd w:id="0"/>
      <w:bookmarkEnd w:id="1"/>
      <w:bookmarkEnd w:id="2"/>
    </w:p>
    <w:p w:rsidR="006F7B6A" w:rsidRDefault="007E36DA" w:rsidP="007E36DA">
      <w:pPr>
        <w:pStyle w:val="BodyText"/>
        <w:tabs>
          <w:tab w:val="left" w:pos="1142"/>
        </w:tabs>
        <w:spacing w:line="233" w:lineRule="auto"/>
        <w:ind w:left="1140" w:hanging="720"/>
        <w:jc w:val="both"/>
      </w:pPr>
      <w:bookmarkStart w:id="3" w:name="bookmark3"/>
      <w:bookmarkEnd w:id="3"/>
      <w:r>
        <w:rPr>
          <w:b/>
          <w:bCs/>
          <w:shd w:val="clear" w:color="auto" w:fill="FFFFFF"/>
        </w:rPr>
        <w:t>1.</w:t>
      </w:r>
      <w:r>
        <w:rPr>
          <w:b/>
          <w:bCs/>
          <w:shd w:val="clear" w:color="auto" w:fill="FFFFFF"/>
        </w:rPr>
        <w:tab/>
      </w:r>
      <w:r>
        <w:rPr>
          <w:b/>
          <w:bCs/>
        </w:rPr>
        <w:t xml:space="preserve">TAKES NOTE </w:t>
      </w:r>
      <w:r>
        <w:t>of the Report of the African Union Advisory Board on Corruption and the recommendations contained therein;</w:t>
      </w:r>
    </w:p>
    <w:p w:rsidR="006F7B6A" w:rsidRDefault="007E36DA" w:rsidP="007E36DA">
      <w:pPr>
        <w:pStyle w:val="BodyText"/>
        <w:tabs>
          <w:tab w:val="left" w:pos="1142"/>
        </w:tabs>
        <w:ind w:left="1140" w:hanging="720"/>
        <w:jc w:val="both"/>
      </w:pPr>
      <w:bookmarkStart w:id="4" w:name="bookmark4"/>
      <w:bookmarkEnd w:id="4"/>
      <w:r>
        <w:rPr>
          <w:b/>
          <w:bCs/>
          <w:shd w:val="clear" w:color="auto" w:fill="FFFFFF"/>
        </w:rPr>
        <w:t>2.</w:t>
      </w:r>
      <w:r>
        <w:rPr>
          <w:b/>
          <w:bCs/>
          <w:shd w:val="clear" w:color="auto" w:fill="FFFFFF"/>
        </w:rPr>
        <w:tab/>
      </w:r>
      <w:r>
        <w:rPr>
          <w:b/>
          <w:bCs/>
        </w:rPr>
        <w:t xml:space="preserve">STRONGLY </w:t>
      </w:r>
      <w:r>
        <w:t xml:space="preserve">advises the Board to scrupulously verify the information it receives to guard against tarnishing the standing of Member States and </w:t>
      </w:r>
      <w:r>
        <w:rPr>
          <w:b/>
          <w:bCs/>
        </w:rPr>
        <w:t xml:space="preserve">DIRECTS </w:t>
      </w:r>
      <w:r>
        <w:t>it to delete paragraph 23(f) of the Report;</w:t>
      </w:r>
    </w:p>
    <w:p w:rsidR="006F7B6A" w:rsidRDefault="007E36DA" w:rsidP="007E36DA">
      <w:pPr>
        <w:pStyle w:val="BodyText"/>
        <w:tabs>
          <w:tab w:val="left" w:pos="1142"/>
        </w:tabs>
        <w:spacing w:line="233" w:lineRule="auto"/>
        <w:ind w:left="1140" w:hanging="720"/>
        <w:jc w:val="both"/>
      </w:pPr>
      <w:bookmarkStart w:id="5" w:name="bookmark5"/>
      <w:bookmarkEnd w:id="5"/>
      <w:r>
        <w:rPr>
          <w:b/>
          <w:bCs/>
          <w:shd w:val="clear" w:color="auto" w:fill="FFFFFF"/>
        </w:rPr>
        <w:t>3.</w:t>
      </w:r>
      <w:r>
        <w:rPr>
          <w:b/>
          <w:bCs/>
          <w:shd w:val="clear" w:color="auto" w:fill="FFFFFF"/>
        </w:rPr>
        <w:tab/>
      </w:r>
      <w:r>
        <w:rPr>
          <w:b/>
          <w:bCs/>
        </w:rPr>
        <w:t xml:space="preserve">COMMENDS </w:t>
      </w:r>
      <w:r>
        <w:t xml:space="preserve">Sao Tome and Principe, Mauritius and Equatorial Guinea </w:t>
      </w:r>
      <w:r>
        <w:t>for acceding to the African Union Convention on Preventing and Combating Corruption (AUCPCC);</w:t>
      </w:r>
    </w:p>
    <w:p w:rsidR="006F7B6A" w:rsidRDefault="007E36DA" w:rsidP="007E36DA">
      <w:pPr>
        <w:pStyle w:val="BodyText"/>
        <w:tabs>
          <w:tab w:val="left" w:pos="1142"/>
        </w:tabs>
        <w:ind w:left="1140" w:hanging="720"/>
        <w:jc w:val="both"/>
      </w:pPr>
      <w:bookmarkStart w:id="6" w:name="bookmark6"/>
      <w:bookmarkEnd w:id="6"/>
      <w:r>
        <w:rPr>
          <w:b/>
          <w:bCs/>
          <w:shd w:val="clear" w:color="auto" w:fill="FFFFFF"/>
        </w:rPr>
        <w:t>4.</w:t>
      </w:r>
      <w:r>
        <w:rPr>
          <w:b/>
          <w:bCs/>
          <w:shd w:val="clear" w:color="auto" w:fill="FFFFFF"/>
        </w:rPr>
        <w:tab/>
      </w:r>
      <w:r>
        <w:rPr>
          <w:b/>
          <w:bCs/>
        </w:rPr>
        <w:t xml:space="preserve">URGES </w:t>
      </w:r>
      <w:r>
        <w:t>Member States that have not yet acceded to the Convention, to proceed to consider accession with a view to achieving universal ratification of the AUCPCC;</w:t>
      </w:r>
    </w:p>
    <w:p w:rsidR="006F7B6A" w:rsidRDefault="007E36DA" w:rsidP="007E36DA">
      <w:pPr>
        <w:pStyle w:val="BodyText"/>
        <w:tabs>
          <w:tab w:val="left" w:pos="1142"/>
        </w:tabs>
        <w:ind w:left="1140" w:hanging="720"/>
        <w:jc w:val="both"/>
      </w:pPr>
      <w:bookmarkStart w:id="7" w:name="bookmark7"/>
      <w:bookmarkEnd w:id="7"/>
      <w:r>
        <w:rPr>
          <w:b/>
          <w:bCs/>
          <w:shd w:val="clear" w:color="auto" w:fill="FFFFFF"/>
        </w:rPr>
        <w:t>5.</w:t>
      </w:r>
      <w:r>
        <w:rPr>
          <w:b/>
          <w:bCs/>
          <w:shd w:val="clear" w:color="auto" w:fill="FFFFFF"/>
        </w:rPr>
        <w:tab/>
      </w:r>
      <w:r>
        <w:rPr>
          <w:b/>
          <w:bCs/>
        </w:rPr>
        <w:t>N</w:t>
      </w:r>
      <w:r>
        <w:rPr>
          <w:b/>
          <w:bCs/>
        </w:rPr>
        <w:t xml:space="preserve">OTES </w:t>
      </w:r>
      <w:r>
        <w:t>the successful completion of the review of State Reports from Namibia and Uganda and urges them to implement the recommendations and findings;</w:t>
      </w:r>
    </w:p>
    <w:p w:rsidR="006F7B6A" w:rsidRDefault="007E36DA" w:rsidP="007E36DA">
      <w:pPr>
        <w:pStyle w:val="BodyText"/>
        <w:tabs>
          <w:tab w:val="left" w:pos="1142"/>
        </w:tabs>
        <w:ind w:left="1140" w:hanging="720"/>
        <w:jc w:val="both"/>
      </w:pPr>
      <w:bookmarkStart w:id="8" w:name="bookmark8"/>
      <w:bookmarkEnd w:id="8"/>
      <w:r>
        <w:rPr>
          <w:b/>
          <w:bCs/>
          <w:shd w:val="clear" w:color="auto" w:fill="FFFFFF"/>
        </w:rPr>
        <w:t>6.</w:t>
      </w:r>
      <w:r>
        <w:rPr>
          <w:b/>
          <w:bCs/>
          <w:shd w:val="clear" w:color="auto" w:fill="FFFFFF"/>
        </w:rPr>
        <w:tab/>
      </w:r>
      <w:r>
        <w:rPr>
          <w:b/>
          <w:bCs/>
        </w:rPr>
        <w:t xml:space="preserve">COMMENDS </w:t>
      </w:r>
      <w:r>
        <w:t>the Board for the development of State Reports and requests States Parties that are yet to do so to</w:t>
      </w:r>
      <w:r>
        <w:t xml:space="preserve"> welcome Review Missions by the Board, and is pleased with those carried out by the Board to facilitate assessment of the levels of implementation of the Convention and the finalization of the State reporting process;</w:t>
      </w:r>
    </w:p>
    <w:p w:rsidR="006F7B6A" w:rsidRDefault="007E36DA" w:rsidP="007E36DA">
      <w:pPr>
        <w:pStyle w:val="BodyText"/>
        <w:tabs>
          <w:tab w:val="left" w:pos="1142"/>
        </w:tabs>
        <w:ind w:left="1140" w:hanging="720"/>
        <w:jc w:val="both"/>
      </w:pPr>
      <w:bookmarkStart w:id="9" w:name="bookmark9"/>
      <w:bookmarkEnd w:id="9"/>
      <w:r>
        <w:rPr>
          <w:b/>
          <w:bCs/>
          <w:shd w:val="clear" w:color="auto" w:fill="FFFFFF"/>
        </w:rPr>
        <w:t>7.</w:t>
      </w:r>
      <w:r>
        <w:rPr>
          <w:b/>
          <w:bCs/>
          <w:shd w:val="clear" w:color="auto" w:fill="FFFFFF"/>
        </w:rPr>
        <w:tab/>
      </w:r>
      <w:r>
        <w:rPr>
          <w:b/>
          <w:bCs/>
        </w:rPr>
        <w:t xml:space="preserve">REQUESTS </w:t>
      </w:r>
      <w:r>
        <w:t>Member States to take progres</w:t>
      </w:r>
      <w:r>
        <w:t>sive measures to invest in technology to detect asset flows, tighten financial controls to prevent money laundering, establish public beneficial ownership registers and enhance country- to-country reporting as measures to prevent illicit flow of assets fro</w:t>
      </w:r>
      <w:r>
        <w:t>m their territories;</w:t>
      </w:r>
    </w:p>
    <w:p w:rsidR="006F7B6A" w:rsidRDefault="007E36DA" w:rsidP="007E36DA">
      <w:pPr>
        <w:pStyle w:val="BodyText"/>
        <w:tabs>
          <w:tab w:val="left" w:pos="1142"/>
        </w:tabs>
        <w:spacing w:line="230" w:lineRule="auto"/>
        <w:ind w:left="1140" w:hanging="720"/>
        <w:jc w:val="both"/>
      </w:pPr>
      <w:bookmarkStart w:id="10" w:name="bookmark10"/>
      <w:bookmarkEnd w:id="10"/>
      <w:r>
        <w:rPr>
          <w:b/>
          <w:bCs/>
          <w:shd w:val="clear" w:color="auto" w:fill="FFFFFF"/>
        </w:rPr>
        <w:t>8.</w:t>
      </w:r>
      <w:r>
        <w:rPr>
          <w:b/>
          <w:bCs/>
          <w:shd w:val="clear" w:color="auto" w:fill="FFFFFF"/>
        </w:rPr>
        <w:tab/>
      </w:r>
      <w:r>
        <w:rPr>
          <w:b/>
          <w:bCs/>
        </w:rPr>
        <w:t xml:space="preserve">CONGRATULATES </w:t>
      </w:r>
      <w:r>
        <w:t>the Board for the ongoing work toward development of a Common African Position on Asset Recovery;</w:t>
      </w:r>
    </w:p>
    <w:p w:rsidR="006F7B6A" w:rsidRDefault="007E36DA" w:rsidP="007E36DA">
      <w:pPr>
        <w:pStyle w:val="BodyText"/>
        <w:tabs>
          <w:tab w:val="left" w:pos="1142"/>
        </w:tabs>
        <w:spacing w:line="230" w:lineRule="auto"/>
        <w:ind w:left="1140" w:hanging="720"/>
        <w:jc w:val="both"/>
      </w:pPr>
      <w:bookmarkStart w:id="11" w:name="bookmark11"/>
      <w:bookmarkEnd w:id="11"/>
      <w:r>
        <w:rPr>
          <w:b/>
          <w:bCs/>
          <w:shd w:val="clear" w:color="auto" w:fill="FFFFFF"/>
        </w:rPr>
        <w:t>9.</w:t>
      </w:r>
      <w:r>
        <w:rPr>
          <w:b/>
          <w:bCs/>
          <w:shd w:val="clear" w:color="auto" w:fill="FFFFFF"/>
        </w:rPr>
        <w:tab/>
      </w:r>
      <w:r>
        <w:rPr>
          <w:b/>
          <w:bCs/>
        </w:rPr>
        <w:t xml:space="preserve">ADOPTS </w:t>
      </w:r>
      <w:r>
        <w:t xml:space="preserve">the theme for the 2020 African Anti-Corruption Day as </w:t>
      </w:r>
      <w:r>
        <w:rPr>
          <w:color w:val="353535"/>
        </w:rPr>
        <w:t xml:space="preserve">“Fighting Corruption through Effective and Efficient Judicial </w:t>
      </w:r>
      <w:r>
        <w:rPr>
          <w:color w:val="353535"/>
        </w:rPr>
        <w:t>Systems”;</w:t>
      </w:r>
    </w:p>
    <w:p w:rsidR="006F7B6A" w:rsidRDefault="007E36DA" w:rsidP="007E36DA">
      <w:pPr>
        <w:pStyle w:val="BodyText"/>
        <w:tabs>
          <w:tab w:val="left" w:pos="1142"/>
        </w:tabs>
        <w:spacing w:after="260"/>
        <w:ind w:left="1140" w:hanging="720"/>
        <w:jc w:val="both"/>
      </w:pPr>
      <w:bookmarkStart w:id="12" w:name="bookmark12"/>
      <w:bookmarkEnd w:id="12"/>
      <w:r>
        <w:rPr>
          <w:b/>
          <w:bCs/>
          <w:shd w:val="clear" w:color="auto" w:fill="FFFFFF"/>
        </w:rPr>
        <w:t>10.</w:t>
      </w:r>
      <w:r>
        <w:rPr>
          <w:b/>
          <w:bCs/>
          <w:shd w:val="clear" w:color="auto" w:fill="FFFFFF"/>
        </w:rPr>
        <w:tab/>
      </w:r>
      <w:r>
        <w:rPr>
          <w:b/>
          <w:bCs/>
        </w:rPr>
        <w:t xml:space="preserve">REQUESTS </w:t>
      </w:r>
      <w:r>
        <w:t xml:space="preserve">the Commission to submit the proposed amendment to the Convention submitted by Nigeria to change the name of the Board for consideration by the STC on Justice and Legal Affairs and </w:t>
      </w:r>
      <w:r>
        <w:rPr>
          <w:b/>
          <w:bCs/>
        </w:rPr>
        <w:t xml:space="preserve">ENCOURAGES </w:t>
      </w:r>
      <w:r>
        <w:t>States Parties to support the proposed amendm</w:t>
      </w:r>
      <w:r>
        <w:t>ent;</w:t>
      </w:r>
    </w:p>
    <w:p w:rsidR="006F7B6A" w:rsidRDefault="007E36DA" w:rsidP="007E36DA">
      <w:pPr>
        <w:pStyle w:val="BodyText"/>
        <w:tabs>
          <w:tab w:val="left" w:pos="1140"/>
        </w:tabs>
        <w:spacing w:after="0"/>
        <w:ind w:left="1120" w:hanging="700"/>
        <w:jc w:val="both"/>
      </w:pPr>
      <w:bookmarkStart w:id="13" w:name="bookmark13"/>
      <w:bookmarkEnd w:id="13"/>
      <w:r>
        <w:rPr>
          <w:b/>
          <w:bCs/>
          <w:shd w:val="clear" w:color="auto" w:fill="FFFFFF"/>
        </w:rPr>
        <w:lastRenderedPageBreak/>
        <w:t>11.</w:t>
      </w:r>
      <w:r>
        <w:rPr>
          <w:b/>
          <w:bCs/>
          <w:shd w:val="clear" w:color="auto" w:fill="FFFFFF"/>
        </w:rPr>
        <w:tab/>
      </w:r>
      <w:r>
        <w:rPr>
          <w:b/>
          <w:bCs/>
        </w:rPr>
        <w:t xml:space="preserve">URGES </w:t>
      </w:r>
      <w:r>
        <w:t>the Commission to take urgent measures to clarify the distinct functions and lines of responsibility between the Board and the Secretariat and report to the Executive Council at its 37th Ordinary Session.</w:t>
      </w:r>
    </w:p>
    <w:sectPr w:rsidR="006F7B6A">
      <w:pgSz w:w="12240" w:h="16834"/>
      <w:pgMar w:top="1949" w:right="1375" w:bottom="2045" w:left="100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7E36DA">
      <w:r>
        <w:separator/>
      </w:r>
    </w:p>
  </w:endnote>
  <w:endnote w:type="continuationSeparator" w:id="0">
    <w:p w:rsidR="00000000" w:rsidRDefault="007E3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F7B6A" w:rsidRDefault="007E36DA">
      <w:r>
        <w:separator/>
      </w:r>
    </w:p>
  </w:footnote>
  <w:footnote w:type="continuationSeparator" w:id="0">
    <w:p w:rsidR="006F7B6A" w:rsidRDefault="007E36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F52D7C"/>
    <w:multiLevelType w:val="multilevel"/>
    <w:tmpl w:val="333E2716"/>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645970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B6A"/>
    <w:rsid w:val="006F7B6A"/>
    <w:rsid w:val="007E3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AD9818-5D11-4B64-86C3-C9916005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Arial" w:eastAsia="Arial" w:hAnsi="Arial" w:cs="Arial"/>
      <w:b w:val="0"/>
      <w:bCs w:val="0"/>
      <w:i w:val="0"/>
      <w:iCs w:val="0"/>
      <w:smallCaps w:val="0"/>
      <w:strike w:val="0"/>
      <w:u w:val="none"/>
      <w:shd w:val="clear" w:color="auto" w:fill="auto"/>
    </w:rPr>
  </w:style>
  <w:style w:type="character" w:customStyle="1" w:styleId="Heading1">
    <w:name w:val="Heading #1_"/>
    <w:basedOn w:val="DefaultParagraphFont"/>
    <w:link w:val="Heading10"/>
    <w:rPr>
      <w:rFonts w:ascii="Arial" w:eastAsia="Arial" w:hAnsi="Arial" w:cs="Arial"/>
      <w:b/>
      <w:bCs/>
      <w:i w:val="0"/>
      <w:iCs w:val="0"/>
      <w:smallCaps w:val="0"/>
      <w:strike w:val="0"/>
      <w:u w:val="none"/>
      <w:shd w:val="clear" w:color="auto" w:fill="auto"/>
    </w:rPr>
  </w:style>
  <w:style w:type="paragraph" w:styleId="BodyText">
    <w:name w:val="Body Text"/>
    <w:basedOn w:val="Normal"/>
    <w:link w:val="BodyTextChar"/>
    <w:qFormat/>
    <w:pPr>
      <w:spacing w:after="280"/>
    </w:pPr>
    <w:rPr>
      <w:rFonts w:ascii="Arial" w:eastAsia="Arial" w:hAnsi="Arial" w:cs="Arial"/>
    </w:rPr>
  </w:style>
  <w:style w:type="paragraph" w:customStyle="1" w:styleId="Heading10">
    <w:name w:val="Heading #1"/>
    <w:basedOn w:val="Normal"/>
    <w:link w:val="Heading1"/>
    <w:pPr>
      <w:spacing w:after="500"/>
      <w:outlineLvl w:val="0"/>
    </w:pPr>
    <w:rPr>
      <w:rFonts w:ascii="Arial" w:eastAsia="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341</Words>
  <Characters>1947</Characters>
  <Application>Microsoft Office Word</Application>
  <DocSecurity>0</DocSecurity>
  <Lines>16</Lines>
  <Paragraphs>4</Paragraphs>
  <ScaleCrop>false</ScaleCrop>
  <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EX.CL. DECISIONS - 348 - 377 - 11 JULY07 _FINAL_</dc:title>
  <dc:subject/>
  <dc:creator>taye</dc:creator>
  <cp:keywords/>
  <cp:lastModifiedBy>Mariya Badeva Bright</cp:lastModifiedBy>
  <cp:revision>2</cp:revision>
  <dcterms:created xsi:type="dcterms:W3CDTF">2022-10-26T06:28:00Z</dcterms:created>
  <dcterms:modified xsi:type="dcterms:W3CDTF">2022-10-26T06:28:00Z</dcterms:modified>
</cp:coreProperties>
</file>