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6411" w:rsidRDefault="008F53CA">
      <w:pPr>
        <w:pStyle w:val="BodyText"/>
        <w:spacing w:after="40"/>
        <w:jc w:val="center"/>
      </w:pPr>
      <w:r>
        <w:rPr>
          <w:b/>
          <w:bCs/>
        </w:rPr>
        <w:t>DECISION ON THE ANNUAL ACTIVITY REPORT OF</w:t>
      </w:r>
    </w:p>
    <w:p w:rsidR="004B6411" w:rsidRDefault="008F53CA">
      <w:pPr>
        <w:pStyle w:val="BodyText"/>
        <w:spacing w:after="40"/>
        <w:jc w:val="center"/>
      </w:pPr>
      <w:r>
        <w:rPr>
          <w:b/>
          <w:bCs/>
        </w:rPr>
        <w:t>THE AFRICAN RISK CAPACITY</w:t>
      </w:r>
    </w:p>
    <w:p w:rsidR="004B6411" w:rsidRDefault="008F53CA">
      <w:pPr>
        <w:pStyle w:val="BodyText"/>
        <w:spacing w:after="340"/>
        <w:jc w:val="center"/>
      </w:pPr>
      <w:r>
        <w:rPr>
          <w:b/>
          <w:bCs/>
        </w:rPr>
        <w:t>Doc. EX.CL/1211 (XXXVI)</w:t>
      </w:r>
    </w:p>
    <w:p w:rsidR="004B6411" w:rsidRDefault="008F53CA">
      <w:pPr>
        <w:pStyle w:val="Heading10"/>
        <w:keepNext/>
        <w:keepLines/>
        <w:spacing w:after="260"/>
        <w:ind w:firstLine="400"/>
        <w:jc w:val="both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4B6411" w:rsidRDefault="008F53CA" w:rsidP="008F53CA">
      <w:pPr>
        <w:pStyle w:val="BodyText"/>
        <w:tabs>
          <w:tab w:val="left" w:pos="1124"/>
        </w:tabs>
        <w:spacing w:after="260"/>
        <w:ind w:left="1120" w:hanging="720"/>
        <w:jc w:val="both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RECALLING </w:t>
      </w:r>
      <w:r>
        <w:t xml:space="preserve">African Union Agenda 2063, adopted by the AU Assembly in 2015, and its Aspiration 1, specifically the goal which </w:t>
      </w:r>
      <w:r>
        <w:t>envisages an ‘Environmentally Sustainable and Climate Resilient Africa’;</w:t>
      </w:r>
    </w:p>
    <w:p w:rsidR="004B6411" w:rsidRDefault="008F53CA" w:rsidP="008F53CA">
      <w:pPr>
        <w:pStyle w:val="BodyText"/>
        <w:tabs>
          <w:tab w:val="left" w:pos="1124"/>
        </w:tabs>
        <w:spacing w:after="260"/>
        <w:ind w:left="1120" w:hanging="720"/>
        <w:jc w:val="both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CONVINCED </w:t>
      </w:r>
      <w:r>
        <w:t>that the African Risk Capacity (ARC) plays a critical role in building financial resilience to extreme weather events and other natural disasters across the African continen</w:t>
      </w:r>
      <w:r>
        <w:t>t, through provision of technical assistance to Member States and the development of innovative risk insurance products;</w:t>
      </w:r>
    </w:p>
    <w:p w:rsidR="004B6411" w:rsidRDefault="008F53CA" w:rsidP="008F53CA">
      <w:pPr>
        <w:pStyle w:val="BodyText"/>
        <w:tabs>
          <w:tab w:val="left" w:pos="1124"/>
        </w:tabs>
        <w:spacing w:after="260"/>
        <w:ind w:left="1120" w:hanging="720"/>
        <w:jc w:val="both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FURTHER CONVINCED </w:t>
      </w:r>
      <w:r>
        <w:t>that the ARC contributes to building a climate-resilient continent and in enhancing natural disaster preparedness and</w:t>
      </w:r>
      <w:r>
        <w:t xml:space="preserve"> prevention and thus contributing to protect the vulnerable communities and protecting developments gains;</w:t>
      </w:r>
    </w:p>
    <w:p w:rsidR="004B6411" w:rsidRDefault="008F53CA" w:rsidP="008F53CA">
      <w:pPr>
        <w:pStyle w:val="BodyText"/>
        <w:tabs>
          <w:tab w:val="left" w:pos="1124"/>
        </w:tabs>
        <w:spacing w:after="260"/>
        <w:ind w:left="1120" w:hanging="720"/>
        <w:jc w:val="both"/>
      </w:pPr>
      <w:bookmarkStart w:id="6" w:name="bookmark6"/>
      <w:bookmarkEnd w:id="6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COMMEND </w:t>
      </w:r>
      <w:r>
        <w:t>the ARC and the outgoing Director General for the important role that ARC has played towards building a resilient Africa;</w:t>
      </w:r>
    </w:p>
    <w:p w:rsidR="004B6411" w:rsidRDefault="008F53CA" w:rsidP="008F53CA">
      <w:pPr>
        <w:pStyle w:val="BodyText"/>
        <w:tabs>
          <w:tab w:val="left" w:pos="1124"/>
        </w:tabs>
        <w:spacing w:after="260"/>
        <w:ind w:left="1120" w:hanging="720"/>
        <w:jc w:val="both"/>
      </w:pPr>
      <w:bookmarkStart w:id="7" w:name="bookmark7"/>
      <w:bookmarkEnd w:id="7"/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</w:rPr>
        <w:t xml:space="preserve">URGES </w:t>
      </w:r>
      <w:r>
        <w:t>Member States</w:t>
      </w:r>
      <w:r>
        <w:t xml:space="preserve"> that have not yet signed and ratified the Agreement for the Establishment of the ARC Agency to accelerate their processes of signing and ratifying of the Agreement;</w:t>
      </w:r>
    </w:p>
    <w:p w:rsidR="004B6411" w:rsidRDefault="008F53CA" w:rsidP="008F53CA">
      <w:pPr>
        <w:pStyle w:val="BodyText"/>
        <w:tabs>
          <w:tab w:val="left" w:pos="1124"/>
        </w:tabs>
        <w:spacing w:after="260"/>
        <w:ind w:left="1120" w:hanging="720"/>
        <w:jc w:val="both"/>
      </w:pPr>
      <w:bookmarkStart w:id="8" w:name="bookmark8"/>
      <w:bookmarkEnd w:id="8"/>
      <w:r>
        <w:rPr>
          <w:b/>
          <w:bCs/>
        </w:rPr>
        <w:t>6.</w:t>
      </w:r>
      <w:r>
        <w:rPr>
          <w:b/>
          <w:bCs/>
        </w:rPr>
        <w:tab/>
      </w:r>
      <w:r>
        <w:rPr>
          <w:b/>
          <w:bCs/>
        </w:rPr>
        <w:t xml:space="preserve">CALLS UPON </w:t>
      </w:r>
      <w:r>
        <w:t>Member States to support the ARC governance reform process in order to ensure t</w:t>
      </w:r>
      <w:r>
        <w:t>hat ARC is able to effectively serve its Member States;</w:t>
      </w:r>
    </w:p>
    <w:p w:rsidR="004B6411" w:rsidRDefault="008F53CA" w:rsidP="008F53CA">
      <w:pPr>
        <w:pStyle w:val="BodyText"/>
        <w:tabs>
          <w:tab w:val="left" w:pos="1124"/>
        </w:tabs>
        <w:spacing w:after="260"/>
        <w:ind w:left="1120" w:hanging="720"/>
        <w:jc w:val="both"/>
      </w:pPr>
      <w:bookmarkStart w:id="9" w:name="bookmark9"/>
      <w:bookmarkEnd w:id="9"/>
      <w:r>
        <w:rPr>
          <w:b/>
          <w:bCs/>
        </w:rPr>
        <w:t>7.</w:t>
      </w:r>
      <w:r>
        <w:rPr>
          <w:b/>
          <w:bCs/>
        </w:rPr>
        <w:tab/>
      </w:r>
      <w:r>
        <w:rPr>
          <w:b/>
          <w:bCs/>
        </w:rPr>
        <w:t xml:space="preserve">INVITES </w:t>
      </w:r>
      <w:r>
        <w:t>the African Union Commission to support the African Risk Capacity where appropriate, and in an adequate manner.</w:t>
      </w:r>
    </w:p>
    <w:sectPr w:rsidR="004B6411">
      <w:pgSz w:w="12240" w:h="16834"/>
      <w:pgMar w:top="1893" w:right="1371" w:bottom="2682" w:left="10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8F53CA">
      <w:r>
        <w:separator/>
      </w:r>
    </w:p>
  </w:endnote>
  <w:endnote w:type="continuationSeparator" w:id="0">
    <w:p w:rsidR="00000000" w:rsidRDefault="008F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6411" w:rsidRDefault="008F53CA">
      <w:r>
        <w:separator/>
      </w:r>
    </w:p>
  </w:footnote>
  <w:footnote w:type="continuationSeparator" w:id="0">
    <w:p w:rsidR="004B6411" w:rsidRDefault="008F5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6022B"/>
    <w:multiLevelType w:val="multilevel"/>
    <w:tmpl w:val="ADCC148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30550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411"/>
    <w:rsid w:val="004B6411"/>
    <w:rsid w:val="008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2022-10-26T06:28:00Z</dcterms:created>
  <dcterms:modified xsi:type="dcterms:W3CDTF">2022-10-26T06:28:00Z</dcterms:modified>
</cp:coreProperties>
</file>