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C90" w:rsidRDefault="009610AC">
      <w:pPr>
        <w:pStyle w:val="BodyText"/>
        <w:spacing w:after="0"/>
        <w:jc w:val="center"/>
      </w:pPr>
      <w:r>
        <w:rPr>
          <w:b/>
          <w:bCs/>
        </w:rPr>
        <w:t>DECISION</w:t>
      </w:r>
    </w:p>
    <w:p w:rsidR="00F07C90" w:rsidRDefault="009610AC">
      <w:pPr>
        <w:pStyle w:val="BodyText"/>
        <w:spacing w:after="0"/>
        <w:jc w:val="center"/>
      </w:pPr>
      <w:r>
        <w:rPr>
          <w:b/>
          <w:bCs/>
        </w:rPr>
        <w:t>ON AGENDA 2063 FIRST TEN-YEAR IMPLEMENTATION PLAN MONITORING,</w:t>
      </w:r>
      <w:r>
        <w:rPr>
          <w:b/>
          <w:bCs/>
        </w:rPr>
        <w:br/>
        <w:t>EVALUATION AND REPORTING</w:t>
      </w:r>
    </w:p>
    <w:p w:rsidR="00F07C90" w:rsidRDefault="009610AC">
      <w:pPr>
        <w:pStyle w:val="BodyText"/>
        <w:jc w:val="center"/>
      </w:pPr>
      <w:r>
        <w:rPr>
          <w:b/>
          <w:bCs/>
        </w:rPr>
        <w:t>Doc. EX.CL/1217(XXXVI)</w:t>
      </w:r>
    </w:p>
    <w:p w:rsidR="00F07C90" w:rsidRDefault="009610AC">
      <w:pPr>
        <w:pStyle w:val="Heading10"/>
        <w:keepNext/>
        <w:keepLines/>
        <w:spacing w:after="360"/>
        <w:ind w:firstLine="400"/>
        <w:jc w:val="both"/>
      </w:pPr>
      <w:bookmarkStart w:id="0" w:name="bookmark0"/>
      <w:bookmarkStart w:id="1" w:name="bookmark1"/>
      <w:bookmarkStart w:id="2" w:name="bookmark2"/>
      <w:r>
        <w:t>The Executive Council,</w:t>
      </w:r>
      <w:bookmarkEnd w:id="0"/>
      <w:bookmarkEnd w:id="1"/>
      <w:bookmarkEnd w:id="2"/>
    </w:p>
    <w:p w:rsidR="00F07C90" w:rsidRDefault="009610AC" w:rsidP="009610AC">
      <w:pPr>
        <w:pStyle w:val="BodyText"/>
        <w:tabs>
          <w:tab w:val="left" w:pos="1135"/>
        </w:tabs>
        <w:spacing w:line="233" w:lineRule="auto"/>
        <w:ind w:left="1120" w:hanging="700"/>
        <w:jc w:val="both"/>
      </w:pPr>
      <w:bookmarkStart w:id="3" w:name="bookmark3"/>
      <w:bookmarkEnd w:id="3"/>
      <w:r>
        <w:rPr>
          <w:b/>
          <w:bCs/>
        </w:rPr>
        <w:t>1.</w:t>
      </w:r>
      <w:r>
        <w:rPr>
          <w:b/>
          <w:bCs/>
        </w:rPr>
        <w:tab/>
      </w:r>
      <w:r>
        <w:rPr>
          <w:b/>
          <w:bCs/>
        </w:rPr>
        <w:t xml:space="preserve">TAKES NOTE </w:t>
      </w:r>
      <w:r>
        <w:t xml:space="preserve">of the Report of the Seventh Meeting of the Ministerial Follow-Up Committee on Agenda 2063 and </w:t>
      </w:r>
      <w:r>
        <w:rPr>
          <w:b/>
          <w:bCs/>
        </w:rPr>
        <w:t xml:space="preserve">ENDORSES </w:t>
      </w:r>
      <w:r>
        <w:t>the recommendations contained therein;</w:t>
      </w:r>
    </w:p>
    <w:p w:rsidR="00F07C90" w:rsidRDefault="009610AC" w:rsidP="009610AC">
      <w:pPr>
        <w:pStyle w:val="BodyText"/>
        <w:tabs>
          <w:tab w:val="left" w:pos="1135"/>
        </w:tabs>
        <w:ind w:left="1120" w:hanging="700"/>
        <w:jc w:val="both"/>
      </w:pPr>
      <w:bookmarkStart w:id="4" w:name="bookmark4"/>
      <w:bookmarkEnd w:id="4"/>
      <w:r>
        <w:rPr>
          <w:b/>
          <w:bCs/>
        </w:rPr>
        <w:t>2.</w:t>
      </w:r>
      <w:r>
        <w:rPr>
          <w:b/>
          <w:bCs/>
        </w:rPr>
        <w:tab/>
      </w:r>
      <w:r>
        <w:rPr>
          <w:b/>
          <w:bCs/>
        </w:rPr>
        <w:t xml:space="preserve">NOTES WITH CONCERN </w:t>
      </w:r>
      <w:r>
        <w:t xml:space="preserve">that since the adoption of Agenda 2063 in January 2015 through Assembly Decision </w:t>
      </w:r>
      <w:r>
        <w:rPr>
          <w:b/>
          <w:bCs/>
          <w:i/>
          <w:iCs/>
          <w:sz w:val="22"/>
          <w:szCs w:val="22"/>
        </w:rPr>
        <w:t>Assembly/AU/D</w:t>
      </w:r>
      <w:r>
        <w:rPr>
          <w:b/>
          <w:bCs/>
          <w:i/>
          <w:iCs/>
          <w:sz w:val="22"/>
          <w:szCs w:val="22"/>
        </w:rPr>
        <w:t>ec.565(XXIV),</w:t>
      </w:r>
      <w:r>
        <w:t xml:space="preserve"> domestication of Agenda 2063 in Member States is still lagging behind. Initial Domestication Missions have been undertaken to forty-two (42) of the fifty-five (55) Member States. </w:t>
      </w:r>
      <w:r>
        <w:rPr>
          <w:b/>
          <w:bCs/>
        </w:rPr>
        <w:t xml:space="preserve">CALLS UPON </w:t>
      </w:r>
      <w:r>
        <w:t xml:space="preserve">the Commission to ensure that initial Domestication </w:t>
      </w:r>
      <w:r>
        <w:t xml:space="preserve">Missions to the remaining thirteen (13) Member States are undertaken, and reports to the Executive Council during its Thirty-Seventh Ordinary Session in July 2020. </w:t>
      </w:r>
      <w:r>
        <w:rPr>
          <w:b/>
          <w:bCs/>
        </w:rPr>
        <w:t xml:space="preserve">URGES </w:t>
      </w:r>
      <w:r>
        <w:t>Member States that have not yet received initial domestication missions to work closel</w:t>
      </w:r>
      <w:r>
        <w:t>y with the Commission, AUDA-NEPAD, AfDB, RECs and UNECA to ensure full domestication of Agenda 2063 by July 2020.</w:t>
      </w:r>
    </w:p>
    <w:p w:rsidR="00F07C90" w:rsidRDefault="009610AC" w:rsidP="009610AC">
      <w:pPr>
        <w:pStyle w:val="BodyText"/>
        <w:tabs>
          <w:tab w:val="left" w:pos="1135"/>
        </w:tabs>
        <w:ind w:left="1120" w:hanging="700"/>
        <w:jc w:val="both"/>
      </w:pPr>
      <w:bookmarkStart w:id="5" w:name="bookmark5"/>
      <w:bookmarkEnd w:id="5"/>
      <w:r>
        <w:rPr>
          <w:b/>
          <w:bCs/>
        </w:rPr>
        <w:t>3.</w:t>
      </w:r>
      <w:r>
        <w:rPr>
          <w:b/>
          <w:bCs/>
        </w:rPr>
        <w:tab/>
      </w:r>
      <w:r>
        <w:rPr>
          <w:b/>
          <w:bCs/>
        </w:rPr>
        <w:t xml:space="preserve">WELCOMES </w:t>
      </w:r>
      <w:r>
        <w:t xml:space="preserve">the roll-out of Agenda 2063 Monitoring and Evaluation Framework and its Reporting Tool and </w:t>
      </w:r>
      <w:r>
        <w:rPr>
          <w:b/>
          <w:bCs/>
        </w:rPr>
        <w:t xml:space="preserve">CALLS UPON </w:t>
      </w:r>
      <w:r>
        <w:t>the Commission, AUDA-NEPAD, REC</w:t>
      </w:r>
      <w:r>
        <w:t>s, AfDB and UNECA to continue to assist Member States in the roll-out of the Monitoring and Evaluation Framework and Reporting Tool;</w:t>
      </w:r>
    </w:p>
    <w:p w:rsidR="00F07C90" w:rsidRDefault="009610AC" w:rsidP="009610AC">
      <w:pPr>
        <w:pStyle w:val="BodyText"/>
        <w:tabs>
          <w:tab w:val="left" w:pos="1135"/>
        </w:tabs>
        <w:ind w:left="1120" w:hanging="700"/>
        <w:jc w:val="both"/>
      </w:pPr>
      <w:bookmarkStart w:id="6" w:name="bookmark6"/>
      <w:bookmarkEnd w:id="6"/>
      <w:r>
        <w:rPr>
          <w:b/>
          <w:bCs/>
        </w:rPr>
        <w:t>4.</w:t>
      </w:r>
      <w:r>
        <w:rPr>
          <w:b/>
          <w:bCs/>
        </w:rPr>
        <w:tab/>
      </w:r>
      <w:r>
        <w:rPr>
          <w:b/>
          <w:bCs/>
        </w:rPr>
        <w:t xml:space="preserve">ADOPTS </w:t>
      </w:r>
      <w:r>
        <w:t>the Integrated Monitoring and Evaluation Architecture with its empirical reporting methodology for tracking, monitor</w:t>
      </w:r>
      <w:r>
        <w:t>ing and reporting on the implementation of Agenda 2063 at national, regional, and continental levels. This architecture should be of an evolving nature to allow for continuous improvement, in conformity with the requirements of gradual implementation of Ag</w:t>
      </w:r>
      <w:r>
        <w:t>enda 2063;</w:t>
      </w:r>
    </w:p>
    <w:p w:rsidR="00F07C90" w:rsidRDefault="009610AC" w:rsidP="009610AC">
      <w:pPr>
        <w:pStyle w:val="BodyText"/>
        <w:tabs>
          <w:tab w:val="left" w:pos="1135"/>
        </w:tabs>
        <w:ind w:firstLine="400"/>
        <w:jc w:val="both"/>
      </w:pPr>
      <w:bookmarkStart w:id="7" w:name="bookmark7"/>
      <w:bookmarkEnd w:id="7"/>
      <w:r>
        <w:rPr>
          <w:b/>
          <w:bCs/>
        </w:rPr>
        <w:t>5.</w:t>
      </w:r>
      <w:r>
        <w:rPr>
          <w:b/>
          <w:bCs/>
        </w:rPr>
        <w:tab/>
      </w:r>
      <w:r>
        <w:rPr>
          <w:b/>
          <w:bCs/>
        </w:rPr>
        <w:t xml:space="preserve">CALLS UPON </w:t>
      </w:r>
      <w:r>
        <w:t>the Commission and AUDA-NEPAD and other stakeholders to;</w:t>
      </w:r>
    </w:p>
    <w:p w:rsidR="00F07C90" w:rsidRDefault="009610AC" w:rsidP="009610AC">
      <w:pPr>
        <w:pStyle w:val="BodyText"/>
        <w:tabs>
          <w:tab w:val="left" w:pos="1850"/>
        </w:tabs>
        <w:ind w:left="1840" w:hanging="700"/>
        <w:jc w:val="both"/>
      </w:pPr>
      <w:bookmarkStart w:id="8" w:name="bookmark8"/>
      <w:bookmarkEnd w:id="8"/>
      <w:r>
        <w:rPr>
          <w:shd w:val="clear" w:color="auto" w:fill="FFFFFF"/>
        </w:rPr>
        <w:t>i)</w:t>
      </w:r>
      <w:r>
        <w:rPr>
          <w:shd w:val="clear" w:color="auto" w:fill="FFFFFF"/>
        </w:rPr>
        <w:tab/>
      </w:r>
      <w:r>
        <w:t>Support Regional Economic Communities and Member States to enhance their capacities in statistics and data management, monitoring, reporting and knowledge exchange for accelerat</w:t>
      </w:r>
      <w:r>
        <w:t>ed implementation of Agenda 2063;</w:t>
      </w:r>
    </w:p>
    <w:p w:rsidR="00F07C90" w:rsidRDefault="009610AC" w:rsidP="009610AC">
      <w:pPr>
        <w:pStyle w:val="BodyText"/>
        <w:tabs>
          <w:tab w:val="left" w:pos="1850"/>
        </w:tabs>
        <w:ind w:left="1840" w:hanging="700"/>
        <w:jc w:val="both"/>
      </w:pPr>
      <w:bookmarkStart w:id="9" w:name="bookmark9"/>
      <w:bookmarkEnd w:id="9"/>
      <w:r>
        <w:rPr>
          <w:shd w:val="clear" w:color="auto" w:fill="FFFFFF"/>
        </w:rPr>
        <w:t>ii)</w:t>
      </w:r>
      <w:r>
        <w:rPr>
          <w:shd w:val="clear" w:color="auto" w:fill="FFFFFF"/>
        </w:rPr>
        <w:tab/>
      </w:r>
      <w:r>
        <w:t>Work with UNECA and AfDB in strengthening national statistical institutions in Member States to ensure reliability and availability of quality statistical data;</w:t>
      </w:r>
    </w:p>
    <w:p w:rsidR="00F07C90" w:rsidRDefault="009610AC" w:rsidP="009610AC">
      <w:pPr>
        <w:pStyle w:val="BodyText"/>
        <w:tabs>
          <w:tab w:val="left" w:pos="1826"/>
        </w:tabs>
        <w:spacing w:after="260"/>
        <w:ind w:left="1840" w:hanging="720"/>
        <w:jc w:val="both"/>
      </w:pPr>
      <w:bookmarkStart w:id="10" w:name="bookmark10"/>
      <w:bookmarkEnd w:id="10"/>
      <w:r>
        <w:rPr>
          <w:shd w:val="clear" w:color="auto" w:fill="FFFFFF"/>
        </w:rPr>
        <w:t>iii)</w:t>
      </w:r>
      <w:r>
        <w:rPr>
          <w:shd w:val="clear" w:color="auto" w:fill="FFFFFF"/>
        </w:rPr>
        <w:tab/>
      </w:r>
      <w:r>
        <w:t>To support Member States, Regional Economic Communities and A</w:t>
      </w:r>
      <w:r>
        <w:t xml:space="preserve">U - </w:t>
      </w:r>
      <w:r>
        <w:lastRenderedPageBreak/>
        <w:t>continental-level entities to prepare the biennial performance reports on the implementation of Agenda 2063;</w:t>
      </w:r>
    </w:p>
    <w:p w:rsidR="00F07C90" w:rsidRDefault="009610AC" w:rsidP="009610AC">
      <w:pPr>
        <w:pStyle w:val="BodyText"/>
        <w:tabs>
          <w:tab w:val="left" w:pos="1124"/>
        </w:tabs>
        <w:spacing w:after="260"/>
        <w:ind w:left="1120" w:hanging="720"/>
        <w:jc w:val="both"/>
      </w:pPr>
      <w:bookmarkStart w:id="11" w:name="bookmark11"/>
      <w:bookmarkEnd w:id="11"/>
      <w:r>
        <w:rPr>
          <w:b/>
          <w:bCs/>
        </w:rPr>
        <w:t>6.</w:t>
      </w:r>
      <w:r>
        <w:rPr>
          <w:b/>
          <w:bCs/>
        </w:rPr>
        <w:tab/>
      </w:r>
      <w:r>
        <w:rPr>
          <w:b/>
          <w:bCs/>
        </w:rPr>
        <w:t xml:space="preserve">CALLS UPON </w:t>
      </w:r>
      <w:r>
        <w:t xml:space="preserve">the Commission, in collaboration with AUDA-NEPAD, to support Member States and RECs to develop, strengthen and deploy </w:t>
      </w:r>
      <w:r>
        <w:t>appropriate tools, approaches and institutional capacity for improved integrated national and regional policy development, planning and implementation;</w:t>
      </w:r>
    </w:p>
    <w:p w:rsidR="00F07C90" w:rsidRDefault="009610AC" w:rsidP="009610AC">
      <w:pPr>
        <w:pStyle w:val="BodyText"/>
        <w:tabs>
          <w:tab w:val="left" w:pos="1124"/>
        </w:tabs>
        <w:spacing w:after="260"/>
        <w:ind w:left="1120" w:hanging="720"/>
        <w:jc w:val="both"/>
      </w:pPr>
      <w:bookmarkStart w:id="12" w:name="bookmark12"/>
      <w:bookmarkEnd w:id="12"/>
      <w:r>
        <w:rPr>
          <w:b/>
          <w:bCs/>
        </w:rPr>
        <w:t>7.</w:t>
      </w:r>
      <w:r>
        <w:rPr>
          <w:b/>
          <w:bCs/>
        </w:rPr>
        <w:tab/>
      </w:r>
      <w:r>
        <w:rPr>
          <w:b/>
          <w:bCs/>
        </w:rPr>
        <w:t xml:space="preserve">RECALLING </w:t>
      </w:r>
      <w:r>
        <w:t xml:space="preserve">Executive Council Decision </w:t>
      </w:r>
      <w:r>
        <w:rPr>
          <w:b/>
          <w:bCs/>
          <w:i/>
          <w:iCs/>
          <w:sz w:val="22"/>
          <w:szCs w:val="22"/>
        </w:rPr>
        <w:t>EX.CL/Dec.998(XXXII) Rev.1</w:t>
      </w:r>
      <w:r>
        <w:t xml:space="preserve"> in which the Commission was requested to</w:t>
      </w:r>
      <w:r>
        <w:t xml:space="preserve"> categorize Flagship Projects into short, medium and long term in order to prioritize them according to the funding capacity available on the continent, therefore </w:t>
      </w:r>
      <w:r>
        <w:rPr>
          <w:b/>
          <w:bCs/>
        </w:rPr>
        <w:t xml:space="preserve">REQUESTS </w:t>
      </w:r>
      <w:r>
        <w:t>the Commission to ensure that the exercise is finalized before the thirty seventh Or</w:t>
      </w:r>
      <w:r>
        <w:t>dinary Session of the Executive Council in July 2020;</w:t>
      </w:r>
    </w:p>
    <w:p w:rsidR="00F07C90" w:rsidRDefault="009610AC" w:rsidP="009610AC">
      <w:pPr>
        <w:pStyle w:val="BodyText"/>
        <w:tabs>
          <w:tab w:val="left" w:pos="1124"/>
        </w:tabs>
        <w:spacing w:after="260"/>
        <w:ind w:left="1120" w:hanging="720"/>
        <w:jc w:val="both"/>
      </w:pPr>
      <w:bookmarkStart w:id="13" w:name="bookmark13"/>
      <w:bookmarkEnd w:id="13"/>
      <w:r>
        <w:rPr>
          <w:b/>
          <w:bCs/>
        </w:rPr>
        <w:t>8.</w:t>
      </w:r>
      <w:r>
        <w:rPr>
          <w:b/>
          <w:bCs/>
        </w:rPr>
        <w:tab/>
      </w:r>
      <w:r>
        <w:rPr>
          <w:b/>
          <w:bCs/>
        </w:rPr>
        <w:t xml:space="preserve">ALSO REQUESTS </w:t>
      </w:r>
      <w:r>
        <w:t>the Commission to develop business plans and come up with alternative possible sources of funding for Agenda 2063 Flagship Projects in line with the ongoing Resource Mobilization efforts w</w:t>
      </w:r>
      <w:r>
        <w:t>ithin the Commission. The Flagship Projects should thereafter be reassessed, prioritized and have their implementation sequenced in relation to available resources;</w:t>
      </w:r>
    </w:p>
    <w:p w:rsidR="00F07C90" w:rsidRDefault="009610AC" w:rsidP="009610AC">
      <w:pPr>
        <w:pStyle w:val="BodyText"/>
        <w:tabs>
          <w:tab w:val="left" w:pos="1124"/>
        </w:tabs>
        <w:spacing w:after="260"/>
        <w:ind w:left="1120" w:hanging="720"/>
        <w:jc w:val="both"/>
      </w:pPr>
      <w:bookmarkStart w:id="14" w:name="bookmark14"/>
      <w:bookmarkEnd w:id="14"/>
      <w:r>
        <w:rPr>
          <w:b/>
          <w:bCs/>
        </w:rPr>
        <w:t>9.</w:t>
      </w:r>
      <w:r>
        <w:rPr>
          <w:b/>
          <w:bCs/>
        </w:rPr>
        <w:tab/>
      </w:r>
      <w:r>
        <w:rPr>
          <w:b/>
          <w:bCs/>
        </w:rPr>
        <w:t xml:space="preserve">INVITES </w:t>
      </w:r>
      <w:r>
        <w:t xml:space="preserve">the Commission, after the prioritization exercise, to implement what is achievable </w:t>
      </w:r>
      <w:r>
        <w:t>in the remaining timeframe of the first ten years of Agenda 2063, and postpone the other activities until future ten-year plans, with emphasis on the integrating nature of each Flagship Project.</w:t>
      </w:r>
    </w:p>
    <w:sectPr w:rsidR="00F07C90">
      <w:pgSz w:w="12240" w:h="16834"/>
      <w:pgMar w:top="1893" w:right="1371" w:bottom="2682" w:left="10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610AC">
      <w:r>
        <w:separator/>
      </w:r>
    </w:p>
  </w:endnote>
  <w:endnote w:type="continuationSeparator" w:id="0">
    <w:p w:rsidR="00000000" w:rsidRDefault="0096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C90" w:rsidRDefault="009610AC">
      <w:r>
        <w:separator/>
      </w:r>
    </w:p>
  </w:footnote>
  <w:footnote w:type="continuationSeparator" w:id="0">
    <w:p w:rsidR="00F07C90" w:rsidRDefault="0096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031C"/>
    <w:multiLevelType w:val="multilevel"/>
    <w:tmpl w:val="DF348E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887FCE"/>
    <w:multiLevelType w:val="multilevel"/>
    <w:tmpl w:val="B6BCBE9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334334">
    <w:abstractNumId w:val="1"/>
  </w:num>
  <w:num w:numId="2" w16cid:durableId="27283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90"/>
    <w:rsid w:val="009610AC"/>
    <w:rsid w:val="00F0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