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DF4" w:rsidRDefault="001320CB">
      <w:pPr>
        <w:pStyle w:val="BodyText"/>
        <w:spacing w:before="260"/>
        <w:jc w:val="center"/>
      </w:pPr>
      <w:r>
        <w:rPr>
          <w:b/>
          <w:bCs/>
        </w:rPr>
        <w:t>DECISION ON THE REPORT OF THE JOINT SITTING OF THE MINISTERIAL</w:t>
      </w:r>
      <w:r>
        <w:rPr>
          <w:b/>
          <w:bCs/>
        </w:rPr>
        <w:br/>
        <w:t>COMMITTEE ON SCALE OF ASSESSMENT AND CONTRIBUTIONS AND THE</w:t>
      </w:r>
      <w:r>
        <w:rPr>
          <w:b/>
          <w:bCs/>
        </w:rPr>
        <w:br/>
        <w:t>COMMITTEE OF FIFTEEN FINANCE MINISTERS (F15)</w:t>
      </w:r>
      <w:r>
        <w:rPr>
          <w:b/>
          <w:bCs/>
        </w:rPr>
        <w:br/>
        <w:t>Doc. EX.CL/1215(XXXVI)</w:t>
      </w:r>
    </w:p>
    <w:p w:rsidR="00024DF4" w:rsidRDefault="001320CB">
      <w:pPr>
        <w:pStyle w:val="Heading10"/>
        <w:keepNext/>
        <w:keepLines/>
        <w:spacing w:after="280"/>
        <w:ind w:firstLine="420"/>
      </w:pPr>
      <w:bookmarkStart w:id="0" w:name="bookmark0"/>
      <w:bookmarkStart w:id="1" w:name="bookmark1"/>
      <w:bookmarkStart w:id="2" w:name="bookmark2"/>
      <w:r>
        <w:t>The Executive Council,</w:t>
      </w:r>
      <w:bookmarkEnd w:id="0"/>
      <w:bookmarkEnd w:id="1"/>
      <w:bookmarkEnd w:id="2"/>
    </w:p>
    <w:p w:rsidR="00024DF4" w:rsidRDefault="001320CB" w:rsidP="001320CB">
      <w:pPr>
        <w:pStyle w:val="BodyText"/>
        <w:tabs>
          <w:tab w:val="left" w:pos="1144"/>
        </w:tabs>
        <w:spacing w:line="233" w:lineRule="auto"/>
        <w:ind w:left="1140" w:hanging="720"/>
        <w:jc w:val="both"/>
      </w:pPr>
      <w:bookmarkStart w:id="3" w:name="bookmark3"/>
      <w:bookmarkEnd w:id="3"/>
      <w:r>
        <w:rPr>
          <w:b/>
          <w:bCs/>
          <w:shd w:val="clear" w:color="auto" w:fill="FFFFFF"/>
        </w:rPr>
        <w:t>1.</w:t>
      </w:r>
      <w:r>
        <w:rPr>
          <w:b/>
          <w:bCs/>
          <w:shd w:val="clear" w:color="auto" w:fill="FFFFFF"/>
        </w:rPr>
        <w:tab/>
      </w:r>
      <w:r>
        <w:rPr>
          <w:b/>
          <w:bCs/>
        </w:rPr>
        <w:t xml:space="preserve">TAKES NOTE </w:t>
      </w:r>
      <w:r>
        <w:t xml:space="preserve">of the Report of the </w:t>
      </w:r>
      <w:r>
        <w:t>Ministerial Committee on Scale of Assessment and Contributions and F15;</w:t>
      </w:r>
    </w:p>
    <w:p w:rsidR="00024DF4" w:rsidRDefault="001320CB" w:rsidP="001320CB">
      <w:pPr>
        <w:pStyle w:val="BodyText"/>
        <w:tabs>
          <w:tab w:val="left" w:pos="1144"/>
        </w:tabs>
        <w:spacing w:line="226" w:lineRule="auto"/>
        <w:ind w:left="1140" w:hanging="720"/>
        <w:jc w:val="both"/>
      </w:pPr>
      <w:bookmarkStart w:id="4" w:name="bookmark4"/>
      <w:bookmarkEnd w:id="4"/>
      <w:r>
        <w:rPr>
          <w:b/>
          <w:bCs/>
          <w:shd w:val="clear" w:color="auto" w:fill="FFFFFF"/>
        </w:rPr>
        <w:t>2.</w:t>
      </w:r>
      <w:r>
        <w:rPr>
          <w:b/>
          <w:bCs/>
          <w:shd w:val="clear" w:color="auto" w:fill="FFFFFF"/>
        </w:rPr>
        <w:tab/>
      </w:r>
      <w:r>
        <w:rPr>
          <w:b/>
          <w:bCs/>
        </w:rPr>
        <w:t xml:space="preserve">COMMENDS </w:t>
      </w:r>
      <w:r>
        <w:t>Member States for contributing 79% of the funds assessed to them in 2019 towards the Union regular budget.</w:t>
      </w:r>
    </w:p>
    <w:p w:rsidR="00024DF4" w:rsidRDefault="001320CB" w:rsidP="001320CB">
      <w:pPr>
        <w:pStyle w:val="BodyText"/>
        <w:tabs>
          <w:tab w:val="left" w:pos="1144"/>
        </w:tabs>
        <w:spacing w:line="233" w:lineRule="auto"/>
        <w:ind w:left="1140" w:hanging="720"/>
        <w:jc w:val="both"/>
      </w:pPr>
      <w:bookmarkStart w:id="5" w:name="bookmark5"/>
      <w:bookmarkEnd w:id="5"/>
      <w:r>
        <w:rPr>
          <w:b/>
          <w:bCs/>
          <w:shd w:val="clear" w:color="auto" w:fill="FFFFFF"/>
        </w:rPr>
        <w:t>3.</w:t>
      </w:r>
      <w:r>
        <w:rPr>
          <w:b/>
          <w:bCs/>
          <w:shd w:val="clear" w:color="auto" w:fill="FFFFFF"/>
        </w:rPr>
        <w:tab/>
      </w:r>
      <w:r>
        <w:rPr>
          <w:b/>
          <w:bCs/>
        </w:rPr>
        <w:t xml:space="preserve">ALSO COMMENDS </w:t>
      </w:r>
      <w:r>
        <w:t>50 Member States for contributing US$154,124,812 to th</w:t>
      </w:r>
      <w:r>
        <w:t>e AU Peace Fund since 2017 which demonstrates the high level of commitment by the Union to fully operationalise the Fund;</w:t>
      </w:r>
    </w:p>
    <w:p w:rsidR="00024DF4" w:rsidRDefault="001320CB" w:rsidP="001320CB">
      <w:pPr>
        <w:pStyle w:val="BodyText"/>
        <w:tabs>
          <w:tab w:val="left" w:pos="1144"/>
        </w:tabs>
        <w:ind w:left="1140" w:hanging="720"/>
        <w:jc w:val="both"/>
      </w:pPr>
      <w:bookmarkStart w:id="6" w:name="bookmark6"/>
      <w:bookmarkEnd w:id="6"/>
      <w:r>
        <w:rPr>
          <w:b/>
          <w:bCs/>
          <w:shd w:val="clear" w:color="auto" w:fill="FFFFFF"/>
        </w:rPr>
        <w:t>4.</w:t>
      </w:r>
      <w:r>
        <w:rPr>
          <w:b/>
          <w:bCs/>
          <w:shd w:val="clear" w:color="auto" w:fill="FFFFFF"/>
        </w:rPr>
        <w:tab/>
      </w:r>
      <w:r>
        <w:rPr>
          <w:b/>
          <w:bCs/>
        </w:rPr>
        <w:t xml:space="preserve">RECALLS </w:t>
      </w:r>
      <w:r>
        <w:t>Decision Assembly/AU/Dec.734(XXXII) on the scale of assessment and the Peace Fund requesting the AU High Representative for Fi</w:t>
      </w:r>
      <w:r>
        <w:t xml:space="preserve">nancing the Union and the Peace Fund, supported by the Commission, to undertake regional consultations on the matter of assessing the Peace Fund and report back to the Executive Council in Niamey, Niger, in June 2019, and </w:t>
      </w:r>
      <w:r>
        <w:rPr>
          <w:b/>
          <w:bCs/>
        </w:rPr>
        <w:t xml:space="preserve">DECIDED </w:t>
      </w:r>
      <w:r>
        <w:t>that in the interim, the e</w:t>
      </w:r>
      <w:r>
        <w:t>xisting scale of assessment as applied to the regular budget of the Union shall be applied to the 2017-2019 assessment of the Peace Fund and, in the event no concrete recommendations emerge from the consultations, the new scale of assessment as applied for</w:t>
      </w:r>
      <w:r>
        <w:t xml:space="preserve"> the regular budget shall also be applied to the Peace Fund from 2020-2022</w:t>
      </w:r>
      <w:r>
        <w:rPr>
          <w:vertAlign w:val="superscript"/>
        </w:rPr>
        <w:footnoteReference w:id="1"/>
      </w:r>
      <w:r>
        <w:t>;</w:t>
      </w:r>
    </w:p>
    <w:p w:rsidR="00024DF4" w:rsidRDefault="001320CB" w:rsidP="001320CB">
      <w:pPr>
        <w:pStyle w:val="BodyText"/>
        <w:tabs>
          <w:tab w:val="left" w:pos="1144"/>
        </w:tabs>
        <w:ind w:left="1140" w:hanging="720"/>
        <w:jc w:val="both"/>
      </w:pPr>
      <w:bookmarkStart w:id="7" w:name="bookmark7"/>
      <w:bookmarkEnd w:id="7"/>
      <w:r>
        <w:rPr>
          <w:b/>
          <w:bCs/>
          <w:shd w:val="clear" w:color="auto" w:fill="FFFFFF"/>
        </w:rPr>
        <w:t>5.</w:t>
      </w:r>
      <w:r>
        <w:rPr>
          <w:b/>
          <w:bCs/>
          <w:shd w:val="clear" w:color="auto" w:fill="FFFFFF"/>
        </w:rPr>
        <w:tab/>
      </w:r>
      <w:r>
        <w:rPr>
          <w:b/>
          <w:bCs/>
        </w:rPr>
        <w:t xml:space="preserve">TAKES NOTE </w:t>
      </w:r>
      <w:r>
        <w:t xml:space="preserve">of the briefing of the AU High Representative on regional consultations on the scale of assessment of the AU Peace Fund and </w:t>
      </w:r>
      <w:r>
        <w:rPr>
          <w:b/>
          <w:bCs/>
        </w:rPr>
        <w:t xml:space="preserve">REQUESTS </w:t>
      </w:r>
      <w:r>
        <w:t>the Commission to adjust according</w:t>
      </w:r>
      <w:r>
        <w:t>ly the annual amounts paid to the Fund in order to demonstrate a reduced burden on Member States but that allows full endowment of the Peace Fund by 2023;</w:t>
      </w:r>
    </w:p>
    <w:p w:rsidR="00024DF4" w:rsidRDefault="001320CB" w:rsidP="001320CB">
      <w:pPr>
        <w:pStyle w:val="BodyText"/>
        <w:tabs>
          <w:tab w:val="left" w:pos="1144"/>
        </w:tabs>
        <w:ind w:left="1140" w:hanging="720"/>
        <w:jc w:val="both"/>
      </w:pPr>
      <w:bookmarkStart w:id="8" w:name="bookmark8"/>
      <w:bookmarkEnd w:id="8"/>
      <w:r>
        <w:rPr>
          <w:b/>
          <w:bCs/>
          <w:shd w:val="clear" w:color="auto" w:fill="FFFFFF"/>
        </w:rPr>
        <w:t>6.</w:t>
      </w:r>
      <w:r>
        <w:rPr>
          <w:b/>
          <w:bCs/>
          <w:shd w:val="clear" w:color="auto" w:fill="FFFFFF"/>
        </w:rPr>
        <w:tab/>
      </w:r>
      <w:r>
        <w:rPr>
          <w:b/>
          <w:bCs/>
        </w:rPr>
        <w:t xml:space="preserve">COMMENDS </w:t>
      </w:r>
      <w:r>
        <w:t>the High Representative for Financing of the Union and Peace Fund for the excellent work und</w:t>
      </w:r>
      <w:r>
        <w:t xml:space="preserve">ertaken to meet with the regions on the matter of assessing the Peace Fund, and </w:t>
      </w:r>
      <w:r>
        <w:rPr>
          <w:b/>
          <w:bCs/>
        </w:rPr>
        <w:t xml:space="preserve">REQUESTS, </w:t>
      </w:r>
      <w:r>
        <w:t xml:space="preserve">in line with all relevant decisions, that the consultations be concluded, and that the High Representative reports back to </w:t>
      </w:r>
      <w:r>
        <w:lastRenderedPageBreak/>
        <w:t>the Executive Council in July 2020.</w:t>
      </w:r>
    </w:p>
    <w:p w:rsidR="00024DF4" w:rsidRDefault="001320CB" w:rsidP="001320CB">
      <w:pPr>
        <w:pStyle w:val="BodyText"/>
        <w:tabs>
          <w:tab w:val="left" w:pos="1101"/>
        </w:tabs>
        <w:spacing w:after="260"/>
        <w:ind w:left="1080" w:hanging="700"/>
        <w:jc w:val="both"/>
      </w:pPr>
      <w:bookmarkStart w:id="9" w:name="bookmark9"/>
      <w:bookmarkEnd w:id="9"/>
      <w:r>
        <w:rPr>
          <w:b/>
          <w:bCs/>
          <w:shd w:val="clear" w:color="auto" w:fill="FFFFFF"/>
        </w:rPr>
        <w:t>7.</w:t>
      </w:r>
      <w:r>
        <w:rPr>
          <w:b/>
          <w:bCs/>
          <w:shd w:val="clear" w:color="auto" w:fill="FFFFFF"/>
        </w:rPr>
        <w:tab/>
      </w:r>
      <w:r>
        <w:rPr>
          <w:b/>
          <w:bCs/>
        </w:rPr>
        <w:t>ALSO DI</w:t>
      </w:r>
      <w:r>
        <w:rPr>
          <w:b/>
          <w:bCs/>
        </w:rPr>
        <w:t xml:space="preserve">RECTS </w:t>
      </w:r>
      <w:r>
        <w:t>the Commission to consider all Member States’ assessed contributions to the Peace Fund during the interim period as payments on account while awaiting the conclusion of the regional consultations</w:t>
      </w:r>
      <w:r>
        <w:rPr>
          <w:vertAlign w:val="superscript"/>
        </w:rPr>
        <w:footnoteReference w:id="2"/>
      </w:r>
      <w:r>
        <w:t>.</w:t>
      </w:r>
    </w:p>
    <w:p w:rsidR="00024DF4" w:rsidRDefault="001320CB" w:rsidP="001320CB">
      <w:pPr>
        <w:pStyle w:val="BodyText"/>
        <w:tabs>
          <w:tab w:val="left" w:pos="1101"/>
        </w:tabs>
        <w:spacing w:after="260"/>
        <w:ind w:left="1080" w:hanging="700"/>
        <w:jc w:val="both"/>
      </w:pPr>
      <w:bookmarkStart w:id="10" w:name="bookmark10"/>
      <w:bookmarkEnd w:id="10"/>
      <w:r>
        <w:rPr>
          <w:b/>
          <w:bCs/>
          <w:shd w:val="clear" w:color="auto" w:fill="FFFFFF"/>
        </w:rPr>
        <w:t>8.</w:t>
      </w:r>
      <w:r>
        <w:rPr>
          <w:b/>
          <w:bCs/>
          <w:shd w:val="clear" w:color="auto" w:fill="FFFFFF"/>
        </w:rPr>
        <w:tab/>
      </w:r>
      <w:r>
        <w:rPr>
          <w:b/>
          <w:bCs/>
        </w:rPr>
        <w:t xml:space="preserve">DECIDES </w:t>
      </w:r>
      <w:r>
        <w:t xml:space="preserve">that all discussions on whether arrears on </w:t>
      </w:r>
      <w:r>
        <w:t>Peace Fund should be considered when applying the sanctions should be suspended pending the conclusion of consultations on how the fund should be assessed by Member States;</w:t>
      </w:r>
    </w:p>
    <w:p w:rsidR="00024DF4" w:rsidRDefault="001320CB" w:rsidP="001320CB">
      <w:pPr>
        <w:pStyle w:val="BodyText"/>
        <w:tabs>
          <w:tab w:val="left" w:pos="1101"/>
        </w:tabs>
        <w:spacing w:after="260"/>
        <w:ind w:left="1080" w:hanging="700"/>
        <w:jc w:val="both"/>
      </w:pPr>
      <w:bookmarkStart w:id="11" w:name="bookmark11"/>
      <w:bookmarkEnd w:id="11"/>
      <w:r>
        <w:rPr>
          <w:b/>
          <w:bCs/>
          <w:shd w:val="clear" w:color="auto" w:fill="FFFFFF"/>
        </w:rPr>
        <w:t>9.</w:t>
      </w:r>
      <w:r>
        <w:rPr>
          <w:b/>
          <w:bCs/>
          <w:shd w:val="clear" w:color="auto" w:fill="FFFFFF"/>
        </w:rPr>
        <w:tab/>
      </w:r>
      <w:r>
        <w:rPr>
          <w:b/>
          <w:bCs/>
        </w:rPr>
        <w:t xml:space="preserve">RECALLS </w:t>
      </w:r>
      <w:r>
        <w:t>Decision Ext/Assembly/AU/Dec.3(XI) of November 2018, in Addis Ababa, Ethiop</w:t>
      </w:r>
      <w:r>
        <w:t xml:space="preserve">ia which adopted the strengthened sanctions regime for implementation as from July 2019 </w:t>
      </w:r>
      <w:r>
        <w:rPr>
          <w:b/>
          <w:bCs/>
        </w:rPr>
        <w:t xml:space="preserve">and FURTHER RECALLS </w:t>
      </w:r>
      <w:r>
        <w:t>Decision EX.CL/Dec. 1071 (XXXV) in which the Commission was mandated to hold consultations with Member States on the elaboration of modalities for i</w:t>
      </w:r>
      <w:r>
        <w:t>mplementation of the strengthened Sanctions Regime and to submit a report by February 2020;</w:t>
      </w:r>
    </w:p>
    <w:p w:rsidR="00024DF4" w:rsidRDefault="001320CB" w:rsidP="001320CB">
      <w:pPr>
        <w:pStyle w:val="BodyText"/>
        <w:tabs>
          <w:tab w:val="left" w:pos="1101"/>
        </w:tabs>
        <w:spacing w:after="260"/>
        <w:ind w:left="1080" w:hanging="700"/>
        <w:jc w:val="both"/>
      </w:pPr>
      <w:bookmarkStart w:id="12" w:name="bookmark12"/>
      <w:bookmarkEnd w:id="12"/>
      <w:r>
        <w:rPr>
          <w:b/>
          <w:bCs/>
          <w:shd w:val="clear" w:color="auto" w:fill="FFFFFF"/>
        </w:rPr>
        <w:t>10.</w:t>
      </w:r>
      <w:r>
        <w:rPr>
          <w:b/>
          <w:bCs/>
          <w:shd w:val="clear" w:color="auto" w:fill="FFFFFF"/>
        </w:rPr>
        <w:tab/>
      </w:r>
      <w:r>
        <w:rPr>
          <w:b/>
          <w:bCs/>
        </w:rPr>
        <w:t xml:space="preserve">REQUESTS </w:t>
      </w:r>
      <w:r>
        <w:t>the PRC to expedite the alignment of the relevant provisions of the Assembly Rules of Procedure, AU Financial Rules and Regulations and the Statutes of the</w:t>
      </w:r>
      <w:r>
        <w:t xml:space="preserve"> Commission for consideration and adoption by the relevant Policy Organs in order to ensure the implementation of the strengthened sanctions regimes without further delay;</w:t>
      </w:r>
    </w:p>
    <w:p w:rsidR="00024DF4" w:rsidRDefault="001320CB" w:rsidP="001320CB">
      <w:pPr>
        <w:pStyle w:val="BodyText"/>
        <w:tabs>
          <w:tab w:val="left" w:pos="1101"/>
        </w:tabs>
        <w:spacing w:after="260"/>
        <w:ind w:left="1080" w:hanging="700"/>
        <w:jc w:val="both"/>
      </w:pPr>
      <w:bookmarkStart w:id="13" w:name="bookmark13"/>
      <w:bookmarkEnd w:id="13"/>
      <w:r>
        <w:rPr>
          <w:b/>
          <w:bCs/>
          <w:shd w:val="clear" w:color="auto" w:fill="FFFFFF"/>
        </w:rPr>
        <w:t>11.</w:t>
      </w:r>
      <w:r>
        <w:rPr>
          <w:b/>
          <w:bCs/>
          <w:shd w:val="clear" w:color="auto" w:fill="FFFFFF"/>
        </w:rPr>
        <w:tab/>
      </w:r>
      <w:r>
        <w:rPr>
          <w:b/>
          <w:bCs/>
        </w:rPr>
        <w:t xml:space="preserve">DECIDES </w:t>
      </w:r>
      <w:r>
        <w:t xml:space="preserve">to extend the application of the old Sanctions Regime until such a time the </w:t>
      </w:r>
      <w:r>
        <w:t>relevant provisions of the Assembly Rules of Procedure, AU Financial Rules and Regulations and the Statutes of the Commission have been revised and adopted.</w:t>
      </w:r>
    </w:p>
    <w:p w:rsidR="00024DF4" w:rsidRDefault="001320CB" w:rsidP="001320CB">
      <w:pPr>
        <w:pStyle w:val="BodyText"/>
        <w:tabs>
          <w:tab w:val="left" w:pos="1101"/>
        </w:tabs>
        <w:spacing w:after="260"/>
        <w:ind w:firstLine="380"/>
        <w:jc w:val="both"/>
      </w:pPr>
      <w:bookmarkStart w:id="14" w:name="bookmark14"/>
      <w:bookmarkEnd w:id="14"/>
      <w:r>
        <w:rPr>
          <w:b/>
          <w:bCs/>
          <w:shd w:val="clear" w:color="auto" w:fill="FFFFFF"/>
        </w:rPr>
        <w:t>12.</w:t>
      </w:r>
      <w:r>
        <w:rPr>
          <w:b/>
          <w:bCs/>
          <w:shd w:val="clear" w:color="auto" w:fill="FFFFFF"/>
        </w:rPr>
        <w:tab/>
      </w:r>
      <w:r>
        <w:rPr>
          <w:b/>
          <w:bCs/>
        </w:rPr>
        <w:t xml:space="preserve">DECIDES </w:t>
      </w:r>
      <w:r>
        <w:t>to impose sanctions on the following listed Member States:</w:t>
      </w:r>
    </w:p>
    <w:p w:rsidR="00024DF4" w:rsidRDefault="001320CB" w:rsidP="001320CB">
      <w:pPr>
        <w:pStyle w:val="BodyText"/>
        <w:tabs>
          <w:tab w:val="left" w:pos="2185"/>
        </w:tabs>
        <w:spacing w:after="0"/>
        <w:ind w:left="1820"/>
        <w:jc w:val="both"/>
      </w:pPr>
      <w:bookmarkStart w:id="15" w:name="bookmark15"/>
      <w:bookmarkEnd w:id="15"/>
      <w:r>
        <w:t>1.</w:t>
      </w:r>
      <w:r>
        <w:tab/>
      </w:r>
      <w:r>
        <w:t>Guinea Bissau</w:t>
      </w:r>
    </w:p>
    <w:p w:rsidR="00024DF4" w:rsidRDefault="001320CB" w:rsidP="001320CB">
      <w:pPr>
        <w:pStyle w:val="BodyText"/>
        <w:tabs>
          <w:tab w:val="left" w:pos="2185"/>
        </w:tabs>
        <w:spacing w:after="0"/>
        <w:ind w:left="1820"/>
        <w:jc w:val="both"/>
      </w:pPr>
      <w:bookmarkStart w:id="16" w:name="bookmark16"/>
      <w:bookmarkEnd w:id="16"/>
      <w:r>
        <w:t>2.</w:t>
      </w:r>
      <w:r>
        <w:tab/>
      </w:r>
      <w:r>
        <w:t xml:space="preserve">Sao Tome &amp; </w:t>
      </w:r>
      <w:r>
        <w:t>Principe</w:t>
      </w:r>
    </w:p>
    <w:p w:rsidR="00024DF4" w:rsidRDefault="001320CB" w:rsidP="001320CB">
      <w:pPr>
        <w:pStyle w:val="BodyText"/>
        <w:tabs>
          <w:tab w:val="left" w:pos="2185"/>
        </w:tabs>
        <w:spacing w:after="0"/>
        <w:ind w:left="1820"/>
        <w:jc w:val="both"/>
      </w:pPr>
      <w:bookmarkStart w:id="17" w:name="bookmark17"/>
      <w:bookmarkEnd w:id="17"/>
      <w:r>
        <w:t>3.</w:t>
      </w:r>
      <w:r>
        <w:tab/>
      </w:r>
      <w:r>
        <w:t>Liberia</w:t>
      </w:r>
    </w:p>
    <w:p w:rsidR="00024DF4" w:rsidRDefault="001320CB" w:rsidP="001320CB">
      <w:pPr>
        <w:pStyle w:val="BodyText"/>
        <w:tabs>
          <w:tab w:val="left" w:pos="2185"/>
        </w:tabs>
        <w:spacing w:after="260"/>
        <w:ind w:left="1820"/>
        <w:jc w:val="both"/>
      </w:pPr>
      <w:bookmarkStart w:id="18" w:name="bookmark18"/>
      <w:bookmarkEnd w:id="18"/>
      <w:r>
        <w:t>4.</w:t>
      </w:r>
      <w:r>
        <w:tab/>
      </w:r>
      <w:r>
        <w:t>South Sudan</w:t>
      </w:r>
    </w:p>
    <w:p w:rsidR="00024DF4" w:rsidRDefault="001320CB" w:rsidP="001320CB">
      <w:pPr>
        <w:pStyle w:val="BodyText"/>
        <w:tabs>
          <w:tab w:val="left" w:pos="1178"/>
        </w:tabs>
        <w:spacing w:after="260"/>
        <w:ind w:left="1080" w:hanging="340"/>
        <w:jc w:val="both"/>
      </w:pPr>
      <w:bookmarkStart w:id="19" w:name="bookmark19"/>
      <w:bookmarkEnd w:id="19"/>
      <w:r>
        <w:rPr>
          <w:b/>
          <w:bCs/>
          <w:shd w:val="clear" w:color="auto" w:fill="FFFFFF"/>
        </w:rPr>
        <w:t>13.</w:t>
      </w:r>
      <w:r>
        <w:rPr>
          <w:b/>
          <w:bCs/>
          <w:shd w:val="clear" w:color="auto" w:fill="FFFFFF"/>
        </w:rPr>
        <w:tab/>
      </w:r>
      <w:r>
        <w:rPr>
          <w:b/>
          <w:bCs/>
        </w:rPr>
        <w:t xml:space="preserve">RECALLS </w:t>
      </w:r>
      <w:r>
        <w:t>decision Ext/Assembly/AU/Dec.3(XI) which states that the Assembly may consider requests from Member States experiencing force majeure circumstances making them temporarily unable to pay their assessed contributions. Mem</w:t>
      </w:r>
      <w:r>
        <w:t>ber States shall notify the Assembly in writing for consideration and decision.</w:t>
      </w:r>
    </w:p>
    <w:p w:rsidR="00024DF4" w:rsidRDefault="001320CB" w:rsidP="001320CB">
      <w:pPr>
        <w:pStyle w:val="BodyText"/>
        <w:tabs>
          <w:tab w:val="left" w:pos="1101"/>
        </w:tabs>
        <w:spacing w:after="260"/>
        <w:ind w:left="1080" w:hanging="700"/>
        <w:jc w:val="both"/>
      </w:pPr>
      <w:bookmarkStart w:id="20" w:name="bookmark20"/>
      <w:bookmarkEnd w:id="20"/>
      <w:r>
        <w:rPr>
          <w:b/>
          <w:bCs/>
          <w:shd w:val="clear" w:color="auto" w:fill="FFFFFF"/>
        </w:rPr>
        <w:t>14.</w:t>
      </w:r>
      <w:r>
        <w:rPr>
          <w:b/>
          <w:bCs/>
          <w:shd w:val="clear" w:color="auto" w:fill="FFFFFF"/>
        </w:rPr>
        <w:tab/>
      </w:r>
      <w:r>
        <w:rPr>
          <w:b/>
          <w:bCs/>
        </w:rPr>
        <w:t xml:space="preserve">TAKES NOTE OF the </w:t>
      </w:r>
      <w:r>
        <w:t xml:space="preserve">requests from Saharawi Arab Democratic Republic, Seychelles, Burundi. </w:t>
      </w:r>
      <w:r>
        <w:rPr>
          <w:b/>
          <w:bCs/>
        </w:rPr>
        <w:t xml:space="preserve">ACKNOWLEDGES </w:t>
      </w:r>
      <w:r>
        <w:t>the challenges faced by these Member States in meeting their annual contrib</w:t>
      </w:r>
      <w:r>
        <w:t xml:space="preserve">utions to the Union, and </w:t>
      </w:r>
      <w:r>
        <w:rPr>
          <w:b/>
          <w:bCs/>
        </w:rPr>
        <w:t xml:space="preserve">REQUESTS </w:t>
      </w:r>
      <w:r>
        <w:t>the Commission to engage with Member States facing difficulties paying their contributions to the Union and those in arrears for two (2) or more years in order to agree on the payment plan for clearing the arrears, and rep</w:t>
      </w:r>
      <w:r>
        <w:t xml:space="preserve">ort back to the Executive </w:t>
      </w:r>
      <w:r>
        <w:lastRenderedPageBreak/>
        <w:t>Council in July 2020.</w:t>
      </w:r>
    </w:p>
    <w:p w:rsidR="00024DF4" w:rsidRDefault="001320CB" w:rsidP="001320CB">
      <w:pPr>
        <w:pStyle w:val="BodyText"/>
        <w:tabs>
          <w:tab w:val="left" w:pos="1140"/>
        </w:tabs>
        <w:spacing w:after="0"/>
        <w:ind w:left="1140" w:hanging="720"/>
        <w:jc w:val="both"/>
      </w:pPr>
      <w:bookmarkStart w:id="21" w:name="bookmark21"/>
      <w:bookmarkEnd w:id="21"/>
      <w:r>
        <w:rPr>
          <w:b/>
          <w:bCs/>
          <w:shd w:val="clear" w:color="auto" w:fill="FFFFFF"/>
        </w:rPr>
        <w:t>15.</w:t>
      </w:r>
      <w:r>
        <w:rPr>
          <w:b/>
          <w:bCs/>
          <w:shd w:val="clear" w:color="auto" w:fill="FFFFFF"/>
        </w:rPr>
        <w:tab/>
      </w:r>
      <w:r>
        <w:rPr>
          <w:b/>
          <w:bCs/>
        </w:rPr>
        <w:t xml:space="preserve">RECALLS </w:t>
      </w:r>
      <w:r>
        <w:t>decision Assembly/AU/Dec.578(XXV) which endorsed the recommendations of the Ad-Hoc Ministerial Committee that the new scale of assessment shall be based on achieving 100% of the Union’s Operational bu</w:t>
      </w:r>
      <w:r>
        <w:t xml:space="preserve">dget; 75% of Union’s Program budget; and 25% of Union’s Peace support operations budget, and </w:t>
      </w:r>
      <w:r>
        <w:rPr>
          <w:b/>
          <w:bCs/>
        </w:rPr>
        <w:t xml:space="preserve">REQUESTS </w:t>
      </w:r>
      <w:r>
        <w:t>the Commission to continue to report on the implementation of the relevant decisions starting from the next Ordinary session of the Executive Council.</w:t>
      </w:r>
    </w:p>
    <w:sectPr w:rsidR="00024DF4">
      <w:footnotePr>
        <w:numStart w:val="8"/>
      </w:footnotePr>
      <w:pgSz w:w="12240" w:h="16834"/>
      <w:pgMar w:top="1884" w:right="1378" w:bottom="1984" w:left="99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20CB">
      <w:r>
        <w:separator/>
      </w:r>
    </w:p>
  </w:endnote>
  <w:endnote w:type="continuationSeparator" w:id="0">
    <w:p w:rsidR="00000000" w:rsidRDefault="0013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DF4" w:rsidRDefault="001320CB">
      <w:r>
        <w:separator/>
      </w:r>
    </w:p>
  </w:footnote>
  <w:footnote w:type="continuationSeparator" w:id="0">
    <w:p w:rsidR="00024DF4" w:rsidRDefault="001320CB">
      <w:r>
        <w:continuationSeparator/>
      </w:r>
    </w:p>
  </w:footnote>
  <w:footnote w:id="1">
    <w:p w:rsidR="00024DF4" w:rsidRDefault="001320CB">
      <w:pPr>
        <w:pStyle w:val="Footnote0"/>
        <w:spacing w:line="202" w:lineRule="auto"/>
        <w:ind w:left="940" w:firstLine="20"/>
        <w:jc w:val="both"/>
      </w:pPr>
      <w:r>
        <w:rPr>
          <w:rFonts w:ascii="Calibri" w:eastAsia="Calibri" w:hAnsi="Calibri" w:cs="Calibri"/>
          <w:vertAlign w:val="superscript"/>
        </w:rPr>
        <w:footnoteRef/>
      </w:r>
      <w:r>
        <w:rPr>
          <w:rFonts w:ascii="Calibri" w:eastAsia="Calibri" w:hAnsi="Calibri" w:cs="Calibri"/>
        </w:rPr>
        <w:t xml:space="preserve"> Reservation by the Arab Republic of Egypt on paragraphs 7: “The ruling of Paragraph no. 14 overrides the outcomes of the regional consultations to be undertaken by the AU High Representative according to the aforementioned decision. Besides, the Paragraph</w:t>
      </w:r>
      <w:r>
        <w:rPr>
          <w:rFonts w:ascii="Calibri" w:eastAsia="Calibri" w:hAnsi="Calibri" w:cs="Calibri"/>
        </w:rPr>
        <w:t xml:space="preserve"> implies the implementation of the Scale of Assessment retroactively (for the years 2017-2019); such retroactive implementation contravenes the universal budgetary principles applied on national budgets and the African Union Budget.” - Reservation entered </w:t>
      </w:r>
      <w:r>
        <w:rPr>
          <w:rFonts w:ascii="Calibri" w:eastAsia="Calibri" w:hAnsi="Calibri" w:cs="Calibri"/>
        </w:rPr>
        <w:t>during the adoption of decisions and confirmed through Note Verbale No. /2019 - AU, dated 27 March 2019.</w:t>
      </w:r>
    </w:p>
  </w:footnote>
  <w:footnote w:id="2">
    <w:p w:rsidR="00024DF4" w:rsidRDefault="001320CB">
      <w:pPr>
        <w:pStyle w:val="Footnote0"/>
        <w:ind w:firstLine="940"/>
      </w:pPr>
      <w:r>
        <w:rPr>
          <w:rFonts w:ascii="Calibri" w:eastAsia="Calibri" w:hAnsi="Calibri" w:cs="Calibri"/>
          <w:vertAlign w:val="superscript"/>
        </w:rPr>
        <w:footnoteRef/>
      </w:r>
      <w:r>
        <w:rPr>
          <w:rFonts w:ascii="Calibri" w:eastAsia="Calibri" w:hAnsi="Calibri" w:cs="Calibri"/>
        </w:rPr>
        <w:t xml:space="preserve"> Reservations by the Arab Republic of Egypt.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A4C"/>
    <w:multiLevelType w:val="multilevel"/>
    <w:tmpl w:val="A170BA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895456"/>
    <w:multiLevelType w:val="multilevel"/>
    <w:tmpl w:val="37CE53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5870500">
    <w:abstractNumId w:val="1"/>
  </w:num>
  <w:num w:numId="2" w16cid:durableId="165275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Start w:val="8"/>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F4"/>
    <w:rsid w:val="00024DF4"/>
    <w:rsid w:val="0013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