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31F2" w:rsidRDefault="008D077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68959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68959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612.pt;height:841.70000000000005pt;z-index:-251658240;mso-position-horizontal-relative:page;mso-position-vertical-relative:page;z-index:-251658752" fillcolor="#FEFEFE" stroked="f"/>
            </w:pict>
          </mc:Fallback>
        </mc:AlternateContent>
      </w:r>
    </w:p>
    <w:p w:rsidR="000F31F2" w:rsidRDefault="008D077A">
      <w:pPr>
        <w:pStyle w:val="Heading10"/>
        <w:keepNext/>
        <w:keepLines/>
        <w:spacing w:before="220" w:after="260"/>
        <w:jc w:val="center"/>
      </w:pPr>
      <w:bookmarkStart w:id="0" w:name="bookmark0"/>
      <w:bookmarkStart w:id="1" w:name="bookmark1"/>
      <w:bookmarkStart w:id="2" w:name="bookmark2"/>
      <w:r>
        <w:t>DECISION ON THE ELECTION AND APPOINTMENT OF SIX (6) COMMISSIONERS</w:t>
      </w:r>
      <w:r>
        <w:br/>
        <w:t>OF THE AFRICAN UNION COMMISSION</w:t>
      </w:r>
      <w:bookmarkEnd w:id="0"/>
      <w:bookmarkEnd w:id="1"/>
      <w:bookmarkEnd w:id="2"/>
    </w:p>
    <w:p w:rsidR="000F31F2" w:rsidRDefault="008D077A">
      <w:pPr>
        <w:pStyle w:val="Heading10"/>
        <w:keepNext/>
        <w:keepLines/>
        <w:spacing w:after="260"/>
        <w:ind w:firstLine="180"/>
      </w:pPr>
      <w:bookmarkStart w:id="3" w:name="bookmark3"/>
      <w:bookmarkStart w:id="4" w:name="bookmark4"/>
      <w:bookmarkStart w:id="5" w:name="bookmark5"/>
      <w:r>
        <w:t>The Executive Council,</w:t>
      </w:r>
      <w:bookmarkEnd w:id="3"/>
      <w:bookmarkEnd w:id="4"/>
      <w:bookmarkEnd w:id="5"/>
    </w:p>
    <w:p w:rsidR="000F31F2" w:rsidRDefault="008D077A" w:rsidP="008D077A">
      <w:pPr>
        <w:pStyle w:val="BodyText"/>
        <w:tabs>
          <w:tab w:val="left" w:pos="900"/>
        </w:tabs>
        <w:spacing w:after="260"/>
        <w:ind w:left="900" w:hanging="720"/>
      </w:pPr>
      <w:bookmarkStart w:id="6" w:name="bookmark6"/>
      <w:bookmarkEnd w:id="6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of the Commission on the Election and Appointment of Six (6) Commissioners of the African Union </w:t>
      </w:r>
      <w:r>
        <w:t>Commission.</w:t>
      </w:r>
    </w:p>
    <w:p w:rsidR="000F31F2" w:rsidRDefault="008D077A" w:rsidP="008D077A">
      <w:pPr>
        <w:pStyle w:val="BodyText"/>
        <w:tabs>
          <w:tab w:val="left" w:pos="900"/>
        </w:tabs>
        <w:spacing w:after="260" w:line="233" w:lineRule="auto"/>
        <w:ind w:left="900" w:hanging="720"/>
      </w:pPr>
      <w:bookmarkStart w:id="7" w:name="bookmark7"/>
      <w:bookmarkEnd w:id="7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ELECTS AND APPOINTS </w:t>
      </w:r>
      <w:r>
        <w:t xml:space="preserve">the following Commissioners of the African Union Commission for a term of Four (4) </w:t>
      </w:r>
      <w:r>
        <w:rPr>
          <w:b/>
          <w:bCs/>
        </w:rPr>
        <w:t>years: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186"/>
        <w:gridCol w:w="1406"/>
        <w:gridCol w:w="1315"/>
        <w:gridCol w:w="1248"/>
      </w:tblGrid>
      <w:tr w:rsidR="000F31F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1F2" w:rsidRDefault="008D077A">
            <w:pPr>
              <w:pStyle w:val="Other0"/>
              <w:spacing w:after="0"/>
            </w:pPr>
            <w:r>
              <w:rPr>
                <w:b/>
                <w:bCs/>
              </w:rPr>
              <w:t>NO.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1F2" w:rsidRDefault="008D077A">
            <w:pPr>
              <w:pStyle w:val="Other0"/>
              <w:spacing w:after="0"/>
            </w:pPr>
            <w:r>
              <w:rPr>
                <w:b/>
                <w:bCs/>
              </w:rPr>
              <w:t>NAME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1F2" w:rsidRDefault="008D077A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COUNTRY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1F2" w:rsidRDefault="008D077A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REGION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1F2" w:rsidRDefault="008D077A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GENDER</w:t>
            </w:r>
          </w:p>
        </w:tc>
      </w:tr>
      <w:tr w:rsidR="000F31F2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1F2" w:rsidRDefault="008D077A">
            <w:pPr>
              <w:pStyle w:val="Other0"/>
              <w:spacing w:after="0"/>
              <w:ind w:firstLine="300"/>
            </w:pPr>
            <w: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F2" w:rsidRDefault="008D077A">
            <w:pPr>
              <w:pStyle w:val="Other0"/>
              <w:spacing w:after="0"/>
              <w:jc w:val="both"/>
            </w:pPr>
            <w:r>
              <w:t xml:space="preserve">H.E Josefa Leonel Correia Sacko, Commissioner for Agriculture, Rural Development, Blue </w:t>
            </w:r>
            <w:r>
              <w:t>Economy and Sustainable Environment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1F2" w:rsidRDefault="008D077A">
            <w:pPr>
              <w:pStyle w:val="Other0"/>
              <w:spacing w:after="0"/>
              <w:ind w:firstLine="280"/>
            </w:pPr>
            <w:r>
              <w:t>Angola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1F2" w:rsidRDefault="008D077A">
            <w:pPr>
              <w:pStyle w:val="Other0"/>
              <w:spacing w:after="0"/>
              <w:jc w:val="center"/>
            </w:pPr>
            <w:r>
              <w:t>South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1F2" w:rsidRDefault="008D077A">
            <w:pPr>
              <w:pStyle w:val="Other0"/>
              <w:spacing w:after="0"/>
              <w:jc w:val="center"/>
            </w:pPr>
            <w:r>
              <w:t>Female</w:t>
            </w:r>
          </w:p>
        </w:tc>
      </w:tr>
      <w:tr w:rsidR="000F31F2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1F2" w:rsidRDefault="008D077A">
            <w:pPr>
              <w:pStyle w:val="Other0"/>
              <w:spacing w:after="0"/>
              <w:ind w:firstLine="300"/>
            </w:pPr>
            <w: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1F2" w:rsidRDefault="008D077A">
            <w:pPr>
              <w:pStyle w:val="Other0"/>
              <w:spacing w:after="0"/>
              <w:jc w:val="both"/>
            </w:pPr>
            <w:r>
              <w:t>H.E Albert Muchanga, Commissioner for Economic Development, Trade, Industry and Mining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1F2" w:rsidRDefault="008D077A">
            <w:pPr>
              <w:pStyle w:val="Other0"/>
              <w:spacing w:after="0"/>
              <w:ind w:firstLine="280"/>
            </w:pPr>
            <w:r>
              <w:t>Zambia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1F2" w:rsidRDefault="008D077A">
            <w:pPr>
              <w:pStyle w:val="Other0"/>
              <w:spacing w:after="0"/>
              <w:jc w:val="center"/>
            </w:pPr>
            <w:r>
              <w:t>South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1F2" w:rsidRDefault="008D077A">
            <w:pPr>
              <w:pStyle w:val="Other0"/>
              <w:spacing w:after="0"/>
              <w:jc w:val="center"/>
            </w:pPr>
            <w:r>
              <w:t>Male</w:t>
            </w:r>
          </w:p>
        </w:tc>
      </w:tr>
      <w:tr w:rsidR="000F31F2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1F2" w:rsidRDefault="008D077A">
            <w:pPr>
              <w:pStyle w:val="Other0"/>
              <w:spacing w:after="0"/>
              <w:ind w:firstLine="300"/>
            </w:pPr>
            <w:r>
              <w:t>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1F2" w:rsidRDefault="008D077A">
            <w:pPr>
              <w:pStyle w:val="Other0"/>
              <w:spacing w:after="0"/>
              <w:jc w:val="both"/>
            </w:pPr>
            <w:r>
              <w:t>H.E. Dr Amani Abou-Zeid, Commissioner for Infrastructure and Energy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1F2" w:rsidRDefault="008D077A">
            <w:pPr>
              <w:pStyle w:val="Other0"/>
              <w:spacing w:after="0"/>
              <w:jc w:val="center"/>
            </w:pPr>
            <w:r>
              <w:t>Egypt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1F2" w:rsidRDefault="008D077A">
            <w:pPr>
              <w:pStyle w:val="Other0"/>
              <w:spacing w:after="0"/>
              <w:jc w:val="center"/>
            </w:pPr>
            <w:r>
              <w:t>Northern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1F2" w:rsidRDefault="008D077A">
            <w:pPr>
              <w:pStyle w:val="Other0"/>
              <w:spacing w:after="0"/>
              <w:jc w:val="center"/>
            </w:pPr>
            <w:r>
              <w:t>Female</w:t>
            </w:r>
          </w:p>
        </w:tc>
      </w:tr>
      <w:tr w:rsidR="000F31F2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31F2" w:rsidRDefault="008D077A">
            <w:pPr>
              <w:pStyle w:val="Other0"/>
              <w:spacing w:after="0"/>
              <w:ind w:firstLine="300"/>
            </w:pPr>
            <w:r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31F2" w:rsidRDefault="008D077A">
            <w:pPr>
              <w:pStyle w:val="Other0"/>
              <w:spacing w:after="0"/>
              <w:jc w:val="both"/>
            </w:pPr>
            <w:r>
              <w:t>H.E. Bankole Adegboyega Adeoye, Commissioner for Political Affairs, Peace and Security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31F2" w:rsidRDefault="008D077A">
            <w:pPr>
              <w:pStyle w:val="Other0"/>
              <w:spacing w:after="0"/>
              <w:ind w:firstLine="280"/>
            </w:pPr>
            <w:r>
              <w:t>Nigeria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31F2" w:rsidRDefault="008D077A">
            <w:pPr>
              <w:pStyle w:val="Other0"/>
              <w:spacing w:after="0"/>
              <w:jc w:val="center"/>
            </w:pPr>
            <w:r>
              <w:t>West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1F2" w:rsidRDefault="008D077A">
            <w:pPr>
              <w:pStyle w:val="Other0"/>
              <w:spacing w:after="0"/>
              <w:jc w:val="center"/>
            </w:pPr>
            <w:r>
              <w:t>Male</w:t>
            </w:r>
          </w:p>
        </w:tc>
      </w:tr>
    </w:tbl>
    <w:p w:rsidR="000F31F2" w:rsidRDefault="000F31F2">
      <w:pPr>
        <w:spacing w:after="259" w:line="1" w:lineRule="exact"/>
      </w:pPr>
    </w:p>
    <w:p w:rsidR="000F31F2" w:rsidRDefault="008D077A" w:rsidP="008D077A">
      <w:pPr>
        <w:pStyle w:val="BodyText"/>
        <w:tabs>
          <w:tab w:val="left" w:pos="725"/>
        </w:tabs>
        <w:spacing w:after="260"/>
        <w:ind w:left="720" w:hanging="720"/>
        <w:jc w:val="both"/>
      </w:pPr>
      <w:bookmarkStart w:id="8" w:name="bookmark8"/>
      <w:bookmarkEnd w:id="8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CONGRATULATES </w:t>
      </w:r>
      <w:r>
        <w:t xml:space="preserve">the newly elected Commissioners who shall take the Oath of Office before the Chairperson of the </w:t>
      </w:r>
      <w:r>
        <w:t>Commission;</w:t>
      </w:r>
    </w:p>
    <w:p w:rsidR="000F31F2" w:rsidRDefault="008D077A" w:rsidP="008D077A">
      <w:pPr>
        <w:pStyle w:val="BodyText"/>
        <w:tabs>
          <w:tab w:val="left" w:pos="725"/>
        </w:tabs>
        <w:spacing w:after="260"/>
        <w:ind w:left="720" w:hanging="720"/>
        <w:jc w:val="both"/>
      </w:pPr>
      <w:bookmarkStart w:id="9" w:name="bookmark9"/>
      <w:bookmarkEnd w:id="9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DECIDES </w:t>
      </w:r>
      <w:r>
        <w:t>that the Commissioners for Education, Science, Technology and Innovation and Health, Humanitarian Affairs and Social Development will be elected at the June/July 2021 Ordinary Session of the Executive Council and the outgoing Commission</w:t>
      </w:r>
      <w:r>
        <w:t>ers, H.E. Sarah Anyang Agbor and H.E. Amira Elfadil Mohamed Elfadil shall be acting in the said positions.</w:t>
      </w:r>
    </w:p>
    <w:p w:rsidR="000F31F2" w:rsidRDefault="008D077A" w:rsidP="008D077A">
      <w:pPr>
        <w:pStyle w:val="BodyText"/>
        <w:tabs>
          <w:tab w:val="left" w:pos="725"/>
        </w:tabs>
        <w:spacing w:after="260"/>
        <w:ind w:left="720" w:hanging="720"/>
        <w:jc w:val="both"/>
      </w:pPr>
      <w:bookmarkStart w:id="10" w:name="bookmark10"/>
      <w:bookmarkEnd w:id="10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5. DECIDES </w:t>
      </w:r>
      <w:r>
        <w:t>that the candidates to be elected shall be amongst male candidates from the Northern Region and female candidates from the Western Region,</w:t>
      </w:r>
      <w:r>
        <w:t xml:space="preserve"> respectively, in accordance with the provisions of the Statutes of the Commission as well as the Rules of Procedure of the Assembly.</w:t>
      </w:r>
    </w:p>
    <w:p w:rsidR="000F31F2" w:rsidRDefault="008D077A" w:rsidP="008D077A">
      <w:pPr>
        <w:pStyle w:val="BodyText"/>
        <w:tabs>
          <w:tab w:val="left" w:pos="725"/>
        </w:tabs>
        <w:ind w:left="720" w:hanging="720"/>
        <w:jc w:val="both"/>
      </w:pPr>
      <w:bookmarkStart w:id="11" w:name="bookmark11"/>
      <w:bookmarkEnd w:id="11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RECALLS </w:t>
      </w:r>
      <w:r>
        <w:t xml:space="preserve">Ext/Assembly/AU/Dec.1 (XI) and Assembly/AU/Dec.761 (XXXIII), which established the Panel of Eminent Personalities </w:t>
      </w:r>
      <w:r>
        <w:t xml:space="preserve">and </w:t>
      </w:r>
      <w:r>
        <w:rPr>
          <w:b/>
          <w:bCs/>
        </w:rPr>
        <w:t xml:space="preserve">REQUESTS </w:t>
      </w:r>
      <w:r>
        <w:t>the Eminent Personalities to continue their work, assisted when necessary, by the</w:t>
      </w:r>
      <w:r>
        <w:br w:type="page"/>
      </w:r>
      <w:r>
        <w:lastRenderedPageBreak/>
        <w:t>same independent African consultancy firm in accordance with the timelines set in this decision.</w:t>
      </w:r>
    </w:p>
    <w:p w:rsidR="000F31F2" w:rsidRDefault="008D077A" w:rsidP="008D077A">
      <w:pPr>
        <w:pStyle w:val="BodyText"/>
        <w:tabs>
          <w:tab w:val="left" w:pos="720"/>
        </w:tabs>
      </w:pPr>
      <w:bookmarkStart w:id="12" w:name="bookmark12"/>
      <w:bookmarkEnd w:id="12"/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</w:rPr>
        <w:t xml:space="preserve">APPROVES </w:t>
      </w:r>
      <w:r>
        <w:t>the following timelines:</w:t>
      </w:r>
    </w:p>
    <w:p w:rsidR="000F31F2" w:rsidRDefault="008D077A" w:rsidP="008D077A">
      <w:pPr>
        <w:pStyle w:val="BodyText"/>
        <w:tabs>
          <w:tab w:val="left" w:pos="1449"/>
        </w:tabs>
        <w:spacing w:line="254" w:lineRule="auto"/>
        <w:ind w:left="1440" w:hanging="620"/>
      </w:pPr>
      <w:bookmarkStart w:id="13" w:name="bookmark13"/>
      <w:bookmarkEnd w:id="13"/>
      <w:r>
        <w:t>a)</w:t>
      </w:r>
      <w:r>
        <w:tab/>
      </w:r>
      <w:r>
        <w:t xml:space="preserve">Commission to communicate call to Member States to submit Candidates (February - </w:t>
      </w:r>
      <w:r>
        <w:rPr>
          <w:b/>
          <w:bCs/>
        </w:rPr>
        <w:t>March 2021)</w:t>
      </w:r>
    </w:p>
    <w:p w:rsidR="000F31F2" w:rsidRDefault="008D077A" w:rsidP="008D077A">
      <w:pPr>
        <w:pStyle w:val="BodyText"/>
        <w:tabs>
          <w:tab w:val="left" w:pos="1449"/>
        </w:tabs>
        <w:ind w:firstLine="820"/>
      </w:pPr>
      <w:bookmarkStart w:id="14" w:name="bookmark14"/>
      <w:bookmarkEnd w:id="14"/>
      <w:r>
        <w:t>b)</w:t>
      </w:r>
      <w:r>
        <w:tab/>
      </w:r>
      <w:r>
        <w:t xml:space="preserve">Submission of Candidates by Member States (March </w:t>
      </w:r>
      <w:r>
        <w:rPr>
          <w:b/>
          <w:bCs/>
        </w:rPr>
        <w:t>-April 2021)</w:t>
      </w:r>
    </w:p>
    <w:p w:rsidR="000F31F2" w:rsidRDefault="008D077A" w:rsidP="008D077A">
      <w:pPr>
        <w:pStyle w:val="BodyText"/>
        <w:tabs>
          <w:tab w:val="left" w:pos="1449"/>
        </w:tabs>
        <w:ind w:firstLine="820"/>
      </w:pPr>
      <w:bookmarkStart w:id="15" w:name="bookmark15"/>
      <w:bookmarkEnd w:id="15"/>
      <w:r>
        <w:t>c)</w:t>
      </w:r>
      <w:r>
        <w:tab/>
      </w:r>
      <w:r>
        <w:t xml:space="preserve">Assessment of Candidates by the Panel </w:t>
      </w:r>
      <w:r>
        <w:rPr>
          <w:b/>
          <w:bCs/>
        </w:rPr>
        <w:t>(April -May 2021)</w:t>
      </w:r>
    </w:p>
    <w:p w:rsidR="000F31F2" w:rsidRDefault="008D077A" w:rsidP="008D077A">
      <w:pPr>
        <w:pStyle w:val="BodyText"/>
        <w:tabs>
          <w:tab w:val="left" w:pos="1449"/>
        </w:tabs>
        <w:ind w:firstLine="820"/>
      </w:pPr>
      <w:bookmarkStart w:id="16" w:name="bookmark16"/>
      <w:bookmarkEnd w:id="16"/>
      <w:r>
        <w:t>d)</w:t>
      </w:r>
      <w:r>
        <w:tab/>
      </w:r>
      <w:r>
        <w:t xml:space="preserve">Circulation of pre-qualified candidates to Member States </w:t>
      </w:r>
      <w:r>
        <w:rPr>
          <w:b/>
          <w:bCs/>
        </w:rPr>
        <w:t>(June 2021).</w:t>
      </w:r>
    </w:p>
    <w:p w:rsidR="000F31F2" w:rsidRDefault="008D077A" w:rsidP="008D077A">
      <w:pPr>
        <w:pStyle w:val="BodyText"/>
        <w:tabs>
          <w:tab w:val="left" w:pos="720"/>
        </w:tabs>
        <w:ind w:left="720" w:hanging="720"/>
        <w:jc w:val="both"/>
      </w:pPr>
      <w:bookmarkStart w:id="17" w:name="bookmark17"/>
      <w:bookmarkEnd w:id="17"/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 xml:space="preserve">the Commission to take all necessary measures towards the implementation of this decision and </w:t>
      </w:r>
      <w:r>
        <w:rPr>
          <w:b/>
          <w:bCs/>
        </w:rPr>
        <w:t xml:space="preserve">APPROVES </w:t>
      </w:r>
      <w:r>
        <w:t xml:space="preserve">a supplementary budget and </w:t>
      </w:r>
      <w:r>
        <w:rPr>
          <w:b/>
          <w:bCs/>
        </w:rPr>
        <w:t xml:space="preserve">DIRECTS </w:t>
      </w:r>
      <w:r>
        <w:t>the PRC, assisted by its relevant sub-c</w:t>
      </w:r>
      <w:r>
        <w:t>ommittees to identify the required budget.</w:t>
      </w:r>
    </w:p>
    <w:sectPr w:rsidR="000F31F2">
      <w:pgSz w:w="12240" w:h="16834"/>
      <w:pgMar w:top="2010" w:right="1362" w:bottom="2286" w:left="13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D077A">
      <w:r>
        <w:separator/>
      </w:r>
    </w:p>
  </w:endnote>
  <w:endnote w:type="continuationSeparator" w:id="0">
    <w:p w:rsidR="00000000" w:rsidRDefault="008D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31F2" w:rsidRDefault="008D077A">
      <w:r>
        <w:separator/>
      </w:r>
    </w:p>
  </w:footnote>
  <w:footnote w:type="continuationSeparator" w:id="0">
    <w:p w:rsidR="000F31F2" w:rsidRDefault="008D0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80455"/>
    <w:multiLevelType w:val="multilevel"/>
    <w:tmpl w:val="9D58AB7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006C7B"/>
    <w:multiLevelType w:val="multilevel"/>
    <w:tmpl w:val="FCD4F20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27293889">
    <w:abstractNumId w:val="1"/>
  </w:num>
  <w:num w:numId="2" w16cid:durableId="157871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1F2"/>
    <w:rsid w:val="000F31F2"/>
    <w:rsid w:val="008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2022-10-26T06:28:00Z</dcterms:created>
  <dcterms:modified xsi:type="dcterms:W3CDTF">2022-10-26T06:28:00Z</dcterms:modified>
</cp:coreProperties>
</file>