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A88" w:rsidRDefault="00C01E26">
      <w:pPr>
        <w:pStyle w:val="Heading10"/>
        <w:keepNext/>
        <w:keepLines/>
        <w:spacing w:after="260"/>
        <w:jc w:val="center"/>
      </w:pPr>
      <w:bookmarkStart w:id="0" w:name="bookmark0"/>
      <w:bookmarkStart w:id="1" w:name="bookmark1"/>
      <w:bookmarkStart w:id="2" w:name="bookmark2"/>
      <w:r>
        <w:t>DECISION ON THE PROGRESS REPORT ON THE OPERATIONALIZATION OF</w:t>
      </w:r>
      <w:r>
        <w:br/>
        <w:t>AFRICA CDC</w:t>
      </w:r>
      <w:bookmarkEnd w:id="0"/>
      <w:bookmarkEnd w:id="1"/>
      <w:bookmarkEnd w:id="2"/>
    </w:p>
    <w:p w:rsidR="00641A88" w:rsidRDefault="00C01E26">
      <w:pPr>
        <w:pStyle w:val="Heading10"/>
        <w:keepNext/>
        <w:keepLines/>
        <w:spacing w:after="260"/>
        <w:ind w:firstLine="640"/>
        <w:jc w:val="both"/>
      </w:pPr>
      <w:bookmarkStart w:id="3" w:name="bookmark3"/>
      <w:bookmarkStart w:id="4" w:name="bookmark4"/>
      <w:bookmarkStart w:id="5" w:name="bookmark5"/>
      <w:r>
        <w:t>The Executive Council,</w:t>
      </w:r>
      <w:bookmarkEnd w:id="3"/>
      <w:bookmarkEnd w:id="4"/>
      <w:bookmarkEnd w:id="5"/>
    </w:p>
    <w:p w:rsidR="00641A88" w:rsidRDefault="00C01E26" w:rsidP="00C01E26">
      <w:pPr>
        <w:pStyle w:val="BodyText"/>
        <w:tabs>
          <w:tab w:val="left" w:pos="1365"/>
        </w:tabs>
        <w:spacing w:after="260"/>
        <w:ind w:left="1340" w:hanging="700"/>
        <w:jc w:val="both"/>
      </w:pPr>
      <w:bookmarkStart w:id="6" w:name="bookmark6"/>
      <w:bookmarkEnd w:id="6"/>
      <w:r>
        <w:rPr>
          <w:b/>
          <w:bCs/>
        </w:rPr>
        <w:t>1.</w:t>
      </w:r>
      <w:r>
        <w:rPr>
          <w:b/>
          <w:bCs/>
        </w:rPr>
        <w:tab/>
      </w:r>
      <w:r>
        <w:rPr>
          <w:b/>
          <w:bCs/>
        </w:rPr>
        <w:t xml:space="preserve">WELCOMES </w:t>
      </w:r>
      <w:r>
        <w:t xml:space="preserve">the Commission report on operationalization of Africa CDC and </w:t>
      </w:r>
      <w:r>
        <w:rPr>
          <w:b/>
          <w:bCs/>
        </w:rPr>
        <w:t xml:space="preserve">ENDORSES </w:t>
      </w:r>
      <w:r>
        <w:t>its recommendations;</w:t>
      </w:r>
    </w:p>
    <w:p w:rsidR="00641A88" w:rsidRDefault="00C01E26" w:rsidP="00C01E26">
      <w:pPr>
        <w:pStyle w:val="BodyText"/>
        <w:tabs>
          <w:tab w:val="left" w:pos="1365"/>
        </w:tabs>
        <w:spacing w:after="260"/>
        <w:ind w:left="1340" w:hanging="700"/>
        <w:jc w:val="both"/>
      </w:pPr>
      <w:bookmarkStart w:id="7" w:name="bookmark7"/>
      <w:bookmarkEnd w:id="7"/>
      <w:r>
        <w:rPr>
          <w:b/>
          <w:bCs/>
        </w:rPr>
        <w:t>2.</w:t>
      </w:r>
      <w:r>
        <w:rPr>
          <w:b/>
          <w:bCs/>
        </w:rPr>
        <w:tab/>
      </w:r>
      <w:r>
        <w:rPr>
          <w:b/>
          <w:bCs/>
        </w:rPr>
        <w:t xml:space="preserve">RECALLS </w:t>
      </w:r>
      <w:r>
        <w:t xml:space="preserve">Assembly Decision/AU/Dec.554 (XXIV) adopted at </w:t>
      </w:r>
      <w:r>
        <w:t>the 24th Ordinary Session of the Assembly of the Union in January 2015 in Addis Ababa, Ethiopia, where the Assembly of the Union decided to establish the Africa Centers for Disease Control and Prevention (Africa CDC);</w:t>
      </w:r>
    </w:p>
    <w:p w:rsidR="00641A88" w:rsidRDefault="00C01E26" w:rsidP="00C01E26">
      <w:pPr>
        <w:pStyle w:val="BodyText"/>
        <w:tabs>
          <w:tab w:val="left" w:pos="1365"/>
        </w:tabs>
        <w:spacing w:after="260"/>
        <w:ind w:left="1340" w:hanging="700"/>
        <w:jc w:val="both"/>
      </w:pPr>
      <w:bookmarkStart w:id="8" w:name="bookmark8"/>
      <w:bookmarkEnd w:id="8"/>
      <w:r>
        <w:rPr>
          <w:b/>
          <w:bCs/>
        </w:rPr>
        <w:t>3.</w:t>
      </w:r>
      <w:r>
        <w:rPr>
          <w:b/>
          <w:bCs/>
        </w:rPr>
        <w:tab/>
      </w:r>
      <w:r>
        <w:rPr>
          <w:b/>
          <w:bCs/>
        </w:rPr>
        <w:t xml:space="preserve">ALSO RECALLS </w:t>
      </w:r>
      <w:r>
        <w:t>the Executive Council Dec</w:t>
      </w:r>
      <w:r>
        <w:t xml:space="preserve">isions EX.CL/Dec.1106(XXXVII) and EX.CL/Dec.1110(XXXVI 11) which </w:t>
      </w:r>
      <w:r>
        <w:rPr>
          <w:b/>
          <w:bCs/>
        </w:rPr>
        <w:t xml:space="preserve">REQUESTED </w:t>
      </w:r>
      <w:r>
        <w:t xml:space="preserve">and </w:t>
      </w:r>
      <w:r>
        <w:rPr>
          <w:b/>
          <w:bCs/>
        </w:rPr>
        <w:t xml:space="preserve">INSTRUCTED </w:t>
      </w:r>
      <w:r>
        <w:t>the African Union Commission to: “prepare a report, including a road map and Framework of Operations, outlining the financial, legal and structural implications to fu</w:t>
      </w:r>
      <w:r>
        <w:t>lly operationalize the Africa CDC in line with its Statute, for submission to the Council through the AU Policy Organs”;</w:t>
      </w:r>
    </w:p>
    <w:p w:rsidR="00641A88" w:rsidRDefault="00C01E26" w:rsidP="00C01E26">
      <w:pPr>
        <w:pStyle w:val="BodyText"/>
        <w:tabs>
          <w:tab w:val="left" w:pos="1365"/>
        </w:tabs>
        <w:spacing w:after="260"/>
        <w:ind w:left="1340" w:hanging="700"/>
        <w:jc w:val="both"/>
      </w:pPr>
      <w:bookmarkStart w:id="9" w:name="bookmark9"/>
      <w:bookmarkEnd w:id="9"/>
      <w:r>
        <w:rPr>
          <w:b/>
          <w:bCs/>
        </w:rPr>
        <w:t>4.</w:t>
      </w:r>
      <w:r>
        <w:rPr>
          <w:b/>
          <w:bCs/>
        </w:rPr>
        <w:tab/>
      </w:r>
      <w:r>
        <w:rPr>
          <w:b/>
          <w:bCs/>
        </w:rPr>
        <w:t xml:space="preserve">REITERATES </w:t>
      </w:r>
      <w:r>
        <w:t>its determination to strengthen the capacity and capability of Africa CDC, at both its Secretariat and Regional Collaboratin</w:t>
      </w:r>
      <w:r>
        <w:t>g Centers, for better preparedness and response to health emergencies and disease threats including the COVID-19 pandemic;</w:t>
      </w:r>
    </w:p>
    <w:p w:rsidR="00641A88" w:rsidRDefault="00C01E26" w:rsidP="00C01E26">
      <w:pPr>
        <w:pStyle w:val="BodyText"/>
        <w:tabs>
          <w:tab w:val="left" w:pos="1365"/>
        </w:tabs>
        <w:spacing w:after="260"/>
        <w:ind w:left="1340" w:hanging="700"/>
        <w:jc w:val="both"/>
      </w:pPr>
      <w:bookmarkStart w:id="10" w:name="bookmark10"/>
      <w:bookmarkEnd w:id="10"/>
      <w:r>
        <w:rPr>
          <w:b/>
          <w:bCs/>
        </w:rPr>
        <w:t>5.</w:t>
      </w:r>
      <w:r>
        <w:rPr>
          <w:b/>
          <w:bCs/>
        </w:rPr>
        <w:tab/>
      </w:r>
      <w:r>
        <w:rPr>
          <w:b/>
          <w:bCs/>
        </w:rPr>
        <w:t xml:space="preserve">RECOGNIZES </w:t>
      </w:r>
      <w:r>
        <w:t xml:space="preserve">that a strong and autonomous Africa CDC is key to protecting Africa’s health, security, economic, and development agenda; </w:t>
      </w:r>
      <w:r>
        <w:t>and the urgency to fully operationalize Africa CDC;</w:t>
      </w:r>
    </w:p>
    <w:p w:rsidR="00641A88" w:rsidRDefault="00C01E26" w:rsidP="00C01E26">
      <w:pPr>
        <w:pStyle w:val="BodyText"/>
        <w:tabs>
          <w:tab w:val="left" w:pos="1365"/>
        </w:tabs>
        <w:spacing w:after="260"/>
        <w:ind w:left="1340" w:hanging="700"/>
        <w:jc w:val="both"/>
      </w:pPr>
      <w:bookmarkStart w:id="11" w:name="bookmark11"/>
      <w:bookmarkEnd w:id="11"/>
      <w:r>
        <w:rPr>
          <w:b/>
          <w:bCs/>
        </w:rPr>
        <w:t>6.</w:t>
      </w:r>
      <w:r>
        <w:rPr>
          <w:b/>
          <w:bCs/>
        </w:rPr>
        <w:tab/>
      </w:r>
      <w:r>
        <w:rPr>
          <w:b/>
          <w:bCs/>
        </w:rPr>
        <w:t xml:space="preserve">FURTHER RECALLS </w:t>
      </w:r>
      <w:r>
        <w:t xml:space="preserve">its Decision EX.CL/Dec.970(XXXI) and </w:t>
      </w:r>
      <w:r>
        <w:rPr>
          <w:b/>
          <w:bCs/>
        </w:rPr>
        <w:t xml:space="preserve">CALLS FOR </w:t>
      </w:r>
      <w:r>
        <w:t>the implementation of 0.5% of the annual operational budget of the Union be allocated to Africa CDC as reserve funds for preparedness and res</w:t>
      </w:r>
      <w:r>
        <w:t>ponse activities; and its Decision EX.CL/Dec.1106(XXXVII), for the budget of Africa CDC to be carried over to the subsequent calendar year.</w:t>
      </w:r>
    </w:p>
    <w:p w:rsidR="00641A88" w:rsidRDefault="00C01E26" w:rsidP="00C01E26">
      <w:pPr>
        <w:pStyle w:val="BodyText"/>
        <w:tabs>
          <w:tab w:val="left" w:pos="1365"/>
        </w:tabs>
        <w:spacing w:after="260"/>
        <w:ind w:left="1340" w:hanging="700"/>
        <w:jc w:val="both"/>
      </w:pPr>
      <w:bookmarkStart w:id="12" w:name="bookmark12"/>
      <w:bookmarkEnd w:id="12"/>
      <w:r>
        <w:rPr>
          <w:b/>
          <w:bCs/>
        </w:rPr>
        <w:t>7.</w:t>
      </w:r>
      <w:r>
        <w:rPr>
          <w:b/>
          <w:bCs/>
        </w:rPr>
        <w:tab/>
      </w:r>
      <w:r>
        <w:rPr>
          <w:b/>
          <w:bCs/>
        </w:rPr>
        <w:t xml:space="preserve">RECALLS </w:t>
      </w:r>
      <w:r>
        <w:t xml:space="preserve">its Decision EX.CL/Dec.1130(XXXIX) of October 2021 and </w:t>
      </w:r>
      <w:r>
        <w:rPr>
          <w:b/>
          <w:bCs/>
        </w:rPr>
        <w:t xml:space="preserve">DIRECTS </w:t>
      </w:r>
      <w:r>
        <w:t>the Commission to submit the proposed amendme</w:t>
      </w:r>
      <w:r>
        <w:t>nts and recommendations together with the legal, financial and structural implications for consideration by the relevant Policy Organs via the competent Sub-Committees and STCs;</w:t>
      </w:r>
    </w:p>
    <w:p w:rsidR="00641A88" w:rsidRDefault="00C01E26" w:rsidP="00C01E26">
      <w:pPr>
        <w:pStyle w:val="BodyText"/>
        <w:tabs>
          <w:tab w:val="left" w:pos="1365"/>
        </w:tabs>
        <w:spacing w:after="260"/>
        <w:ind w:left="1340" w:hanging="700"/>
        <w:jc w:val="both"/>
      </w:pPr>
      <w:bookmarkStart w:id="13" w:name="bookmark13"/>
      <w:bookmarkEnd w:id="13"/>
      <w:r>
        <w:rPr>
          <w:b/>
          <w:bCs/>
        </w:rPr>
        <w:t>8.</w:t>
      </w:r>
      <w:r>
        <w:rPr>
          <w:b/>
          <w:bCs/>
        </w:rPr>
        <w:tab/>
      </w:r>
      <w:r>
        <w:rPr>
          <w:b/>
          <w:bCs/>
        </w:rPr>
        <w:t xml:space="preserve">DIRECTS </w:t>
      </w:r>
      <w:r>
        <w:t xml:space="preserve">the Commission to put in place all necessary measures to expedite the </w:t>
      </w:r>
      <w:r>
        <w:t xml:space="preserve">full operationalization of Africa CDC, in line with the relevant decisions of the Policy Organs, including the completion of the implementation of the Phase I Taskforce recommendations provided there are no legal, structural and financial implications and </w:t>
      </w:r>
      <w:r>
        <w:t>report to the 41st Ordinary Session of the Executive Council in June/July 2022;</w:t>
      </w:r>
    </w:p>
    <w:p w:rsidR="00641A88" w:rsidRDefault="00C01E26" w:rsidP="00C01E26">
      <w:pPr>
        <w:pStyle w:val="BodyText"/>
        <w:tabs>
          <w:tab w:val="left" w:pos="1405"/>
        </w:tabs>
        <w:spacing w:after="260"/>
        <w:ind w:left="1400" w:hanging="720"/>
      </w:pPr>
      <w:bookmarkStart w:id="14" w:name="bookmark14"/>
      <w:bookmarkEnd w:id="14"/>
      <w:r>
        <w:rPr>
          <w:b/>
          <w:bCs/>
        </w:rPr>
        <w:lastRenderedPageBreak/>
        <w:t>9.</w:t>
      </w:r>
      <w:r>
        <w:rPr>
          <w:b/>
          <w:bCs/>
        </w:rPr>
        <w:tab/>
      </w:r>
      <w:r>
        <w:rPr>
          <w:b/>
          <w:bCs/>
        </w:rPr>
        <w:t xml:space="preserve">REQUESTS </w:t>
      </w:r>
      <w:r>
        <w:t>for delegation of the Assembly authority to the Executive Council to consider and approve the amendments at its next Session,</w:t>
      </w:r>
    </w:p>
    <w:p w:rsidR="00641A88" w:rsidRDefault="00C01E26" w:rsidP="00C01E26">
      <w:pPr>
        <w:pStyle w:val="BodyText"/>
        <w:tabs>
          <w:tab w:val="left" w:pos="1405"/>
        </w:tabs>
        <w:spacing w:after="0"/>
        <w:ind w:firstLine="680"/>
      </w:pPr>
      <w:bookmarkStart w:id="15" w:name="bookmark15"/>
      <w:bookmarkEnd w:id="15"/>
      <w:r>
        <w:rPr>
          <w:b/>
          <w:bCs/>
        </w:rPr>
        <w:t>10.</w:t>
      </w:r>
      <w:r>
        <w:rPr>
          <w:b/>
          <w:bCs/>
        </w:rPr>
        <w:tab/>
      </w:r>
      <w:r>
        <w:rPr>
          <w:b/>
          <w:bCs/>
        </w:rPr>
        <w:t xml:space="preserve">DECIDES </w:t>
      </w:r>
      <w:r>
        <w:t>to remain seized on the matter.</w:t>
      </w:r>
    </w:p>
    <w:sectPr w:rsidR="00641A88">
      <w:pgSz w:w="12240" w:h="16834"/>
      <w:pgMar w:top="1943" w:right="1352" w:bottom="2171" w:left="7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01E26">
      <w:r>
        <w:separator/>
      </w:r>
    </w:p>
  </w:endnote>
  <w:endnote w:type="continuationSeparator" w:id="0">
    <w:p w:rsidR="00000000" w:rsidRDefault="00C0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A88" w:rsidRDefault="00C01E26">
      <w:r>
        <w:separator/>
      </w:r>
    </w:p>
  </w:footnote>
  <w:footnote w:type="continuationSeparator" w:id="0">
    <w:p w:rsidR="00641A88" w:rsidRDefault="00C0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6025"/>
    <w:multiLevelType w:val="multilevel"/>
    <w:tmpl w:val="7366B49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223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88"/>
    <w:rsid w:val="00641A88"/>
    <w:rsid w:val="00C0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